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footer42.xml" ContentType="application/vnd.openxmlformats-officedocument.wordprocessingml.footer+xml"/>
  <Override PartName="/word/header2.xml" ContentType="application/vnd.openxmlformats-officedocument.wordprocessingml.header+xml"/>
  <Override PartName="/word/header4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7772400" cy="10058400"/>
            <wp:docPr id="1" name="Picture 1" title="Titelseite mit zwölf Resonanzknoten um ein gemeinsames Zentrum" descr="Titelseite mit zwölf Resonanzknoten um ein gemeinsames Zentrum"/>
            <wp:cNvGraphicFramePr>
              <a:graphicFrameLocks noChangeAspect="1"/>
            </wp:cNvGraphicFramePr>
            <a:graphic>
              <a:graphicData uri="http://schemas.openxmlformats.org/drawingml/2006/picture">
                <pic:pic>
                  <pic:nvPicPr>
                    <pic:cNvPr id="0" name="cassin-cover-de.png"/>
                    <pic:cNvPicPr/>
                  </pic:nvPicPr>
                  <pic:blipFill>
                    <a:blip r:embed="rId17"/>
                    <a:stretch>
                      <a:fillRect/>
                    </a:stretch>
                  </pic:blipFill>
                  <pic:spPr>
                    <a:xfrm>
                      <a:off x="0" y="0"/>
                      <a:ext cx="7772400" cy="10058400"/>
                    </a:xfrm>
                    <a:prstGeom prst="rect"/>
                  </pic:spPr>
                </pic:pic>
              </a:graphicData>
            </a:graphic>
          </wp:inline>
        </w:drawing>
      </w:r>
      <w:r>
        <w:br w:type="page"/>
      </w:r>
    </w:p>
    <w:p>
      <w:pPr>
        <w:sectPr>
          <w:headerReference w:type="default" r:id="rId102"/>
          <w:footerReference w:type="default" r:id="rId103"/>
          <w:pgSz w:w="12240" w:h="15840"/>
          <w:pgMar w:top="0" w:right="0" w:bottom="0" w:left="0" w:header="0" w:footer="0" w:gutter="0"/>
          <w:cols w:space="720"/>
          <w:docGrid w:linePitch="360"/>
        </w:sectPr>
      </w:pPr>
    </w:p>
    <w:p>
      <w:pPr>
        <w:spacing w:after="140"/>
      </w:pPr>
      <w:r>
        <w:rPr>
          <w:rFonts w:ascii="Aptos" w:hAnsi="Aptos"/>
          <w:b/>
          <w:color w:val="C79A3B"/>
          <w:sz w:val="16"/>
        </w:rPr>
        <w:t>FORSCHUNGSBERICHT 03 · DEUTSCHE AUSGABE</w:t>
      </w:r>
    </w:p>
    <w:p>
      <w:pPr>
        <w:pStyle w:val="Title"/>
      </w:pPr>
      <w:r>
        <w:t>Cassin und die Arbeit der Unübersetzbarkeit</w:t>
      </w:r>
    </w:p>
    <w:p>
      <w:r>
        <w:rPr>
          <w:rFonts w:ascii="Aptos" w:hAnsi="Aptos"/>
          <w:b/>
          <w:color w:val="5D6B75"/>
          <w:sz w:val="24"/>
        </w:rPr>
        <w:t>Forschungsbericht zu zwölf Begriffsfällen, 24 Übersetzungswegen und den Gates C0 bis C6</w:t>
      </w:r>
    </w:p>
    <w:p>
      <w:r>
        <w:rPr>
          <w:rFonts w:ascii="Aptos" w:hAnsi="Aptos"/>
          <w:b/>
          <w:color w:val="C79A3B"/>
          <w:sz w:val="17"/>
        </w:rPr>
        <w:t>Michael Reich · Version 1.1 · 13. September 2026</w:t>
      </w:r>
    </w:p>
    <w:p>
      <w:pPr>
        <w:pStyle w:val="Heading1"/>
      </w:pPr>
      <w:r>
        <w:t>Zusammenfassung</w:t>
      </w:r>
    </w:p>
    <w:p>
      <w:pPr>
        <w:jc w:val="both"/>
      </w:pPr>
      <w:r>
        <w:rPr>
          <w:rFonts w:ascii="Aptos" w:hAnsi="Aptos"/>
          <w:i w:val="0"/>
          <w:color w:val="162536"/>
          <w:sz w:val="20"/>
        </w:rPr>
        <w:t>Der Cassin-Pilot untersucht Nichtäquivalenz und Unübersetzbarkeit an zwölf ausgewählten Begriffen des Atlas der Sprache. Als Vergleichskorpus dienen die französische Ausgabe von 2004 und die englische Ausgabe von 2014 des philosophischen Lexikons sowie unabhängige Primärtexte, historische und fachsprachliche Wörterbücher, publizierte Übersetzungen identischer Passagen und explizite Gegenmodelle. Zwölf Same-Passage-Gruppen mit 24 direkt verifizierten publizierten Übersetzungswegen wurden in zwei getrennten Modellläufen codiert, anschließend adjudiziert und adversarial geprüft. Vier Wege erhielten A, dreizehn B, fünf C und zwei X. Neun der zwölf Gruppen unterscheiden sich im Grad oder Mechanismus. Das Ergebnis ist keine Liste absolut unübersetzbarer Wörter. Es ist ein gestuftes Modell kontextabhängiger Entsprechung, in dem Polysemieverteilung, Wortbildung, historische Sedimentierung, institutionelle Pragmatik, fachgeschichtliche Verschiebung und Übersetzungsketten zusammenwirken. Fünf Atlasanker benötigen im Pilotumfang keine besondere Änderung, vier eine Kontextrelativierung und drei gelten als spätere Revisionskandidaten. Diese Einstufung ist ein Forschungsbefund und keine Integrationsauswahl. Menschliche, muttersprachliche und persönlich unabhängige Reviews fehlen; CP-011 bleibt deshalb mit zwei X-Wegen offen. Gate C6 ist mit bindenden Vorbehalten abgeschlossen. Der Bericht dokumentiert Gate C7, verändert aber keine Atlasdaten und erteilt keine Publikationsfreigabe.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4139"/>
            <w:shd w:fill="0B1D33"/>
            <w:tcMar>
              <w:top w:w="80" w:type="dxa"/>
              <w:start w:w="90" w:type="dxa"/>
              <w:bottom w:w="80" w:type="dxa"/>
              <w:end w:w="90" w:type="dxa"/>
            </w:tcMar>
            <w:vAlign w:val="center"/>
          </w:tcPr>
          <w:p>
            <w:r>
              <w:rPr>
                <w:rFonts w:ascii="Aptos" w:hAnsi="Aptos"/>
                <w:b/>
                <w:color w:val="FDFBF6"/>
                <w:sz w:val="16"/>
              </w:rPr>
              <w:t>Kennzahl</w:t>
            </w:r>
          </w:p>
        </w:tc>
        <w:tc>
          <w:tcPr>
            <w:tcW w:type="dxa" w:w="4706"/>
            <w:shd w:fill="0B1D33"/>
            <w:tcMar>
              <w:top w:w="80" w:type="dxa"/>
              <w:start w:w="90" w:type="dxa"/>
              <w:bottom w:w="80" w:type="dxa"/>
              <w:end w:w="90" w:type="dxa"/>
            </w:tcMar>
            <w:vAlign w:val="center"/>
          </w:tcPr>
          <w:p>
            <w:r>
              <w:rPr>
                <w:rFonts w:ascii="Aptos" w:hAnsi="Aptos"/>
                <w:b/>
                <w:color w:val="FDFBF6"/>
                <w:sz w:val="16"/>
              </w:rPr>
              <w:t>Ergebnis</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Fälle</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12</w:t>
            </w:r>
          </w:p>
        </w:tc>
      </w:tr>
      <w:tr>
        <w:tc>
          <w:tcPr>
            <w:tcW w:type="dxa" w:w="4139"/>
            <w:shd w:fill="FAF8F3"/>
            <w:tcMar>
              <w:top w:w="80" w:type="dxa"/>
              <w:start w:w="90" w:type="dxa"/>
              <w:bottom w:w="80" w:type="dxa"/>
              <w:end w:w="90" w:type="dxa"/>
            </w:tcMar>
            <w:vAlign w:val="center"/>
          </w:tcPr>
          <w:p>
            <w:pPr>
              <w:jc w:val="left"/>
            </w:pPr>
            <w:r>
              <w:rPr>
                <w:rFonts w:ascii="Aptos" w:hAnsi="Aptos"/>
                <w:b/>
                <w:color w:val="162536"/>
                <w:sz w:val="16"/>
              </w:rPr>
              <w:t>Same-Passage-Gruppen</w:t>
            </w:r>
          </w:p>
        </w:tc>
        <w:tc>
          <w:tcPr>
            <w:tcW w:type="dxa" w:w="4706"/>
            <w:shd w:fill="FAF8F3"/>
            <w:tcMar>
              <w:top w:w="80" w:type="dxa"/>
              <w:start w:w="90" w:type="dxa"/>
              <w:bottom w:w="80" w:type="dxa"/>
              <w:end w:w="90" w:type="dxa"/>
            </w:tcMar>
            <w:vAlign w:val="center"/>
          </w:tcPr>
          <w:p>
            <w:pPr>
              <w:jc w:val="left"/>
            </w:pPr>
            <w:r>
              <w:rPr>
                <w:rFonts w:ascii="Aptos" w:hAnsi="Aptos"/>
                <w:b w:val="0"/>
                <w:color w:val="162536"/>
                <w:sz w:val="16"/>
              </w:rPr>
              <w:t>12</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Publizierte Übersetzungswege</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24</w:t>
            </w:r>
          </w:p>
        </w:tc>
      </w:tr>
      <w:tr>
        <w:tc>
          <w:tcPr>
            <w:tcW w:type="dxa" w:w="4139"/>
            <w:shd w:fill="FAF8F3"/>
            <w:tcMar>
              <w:top w:w="80" w:type="dxa"/>
              <w:start w:w="90" w:type="dxa"/>
              <w:bottom w:w="80" w:type="dxa"/>
              <w:end w:w="90" w:type="dxa"/>
            </w:tcMar>
            <w:vAlign w:val="center"/>
          </w:tcPr>
          <w:p>
            <w:pPr>
              <w:jc w:val="left"/>
            </w:pPr>
            <w:r>
              <w:rPr>
                <w:rFonts w:ascii="Aptos" w:hAnsi="Aptos"/>
                <w:b/>
                <w:color w:val="162536"/>
                <w:sz w:val="16"/>
              </w:rPr>
              <w:t>C4</w:t>
            </w:r>
          </w:p>
        </w:tc>
        <w:tc>
          <w:tcPr>
            <w:tcW w:type="dxa" w:w="4706"/>
            <w:shd w:fill="FAF8F3"/>
            <w:tcMar>
              <w:top w:w="80" w:type="dxa"/>
              <w:start w:w="90" w:type="dxa"/>
              <w:bottom w:w="80" w:type="dxa"/>
              <w:end w:w="90" w:type="dxa"/>
            </w:tcMar>
            <w:vAlign w:val="center"/>
          </w:tcPr>
          <w:p>
            <w:pPr>
              <w:jc w:val="left"/>
            </w:pPr>
            <w:r>
              <w:rPr>
                <w:rFonts w:ascii="Aptos" w:hAnsi="Aptos"/>
                <w:b w:val="0"/>
                <w:color w:val="162536"/>
                <w:sz w:val="16"/>
              </w:rPr>
              <w:t>A 4 · B 13 · C 5 · X 2</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Gate-Status</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C6 complete · C7 report package</w:t>
            </w:r>
          </w:p>
        </w:tc>
      </w:tr>
    </w:tbl>
    <w:p>
      <w:pPr>
        <w:spacing w:after="0"/>
      </w:pPr>
    </w:p>
    <w:p>
      <w:pPr>
        <w:pStyle w:val="Heading1"/>
        <w:pageBreakBefore/>
      </w:pPr>
      <w:r>
        <w:t>Inhalt und Leseweg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417"/>
            <w:shd w:fill="0B1D33"/>
            <w:tcMar>
              <w:top w:w="80" w:type="dxa"/>
              <w:start w:w="90" w:type="dxa"/>
              <w:bottom w:w="80" w:type="dxa"/>
              <w:end w:w="90" w:type="dxa"/>
            </w:tcMar>
            <w:vAlign w:val="center"/>
          </w:tcPr>
          <w:p>
            <w:r>
              <w:rPr>
                <w:rFonts w:ascii="Aptos" w:hAnsi="Aptos"/>
                <w:b/>
                <w:color w:val="FDFBF6"/>
                <w:sz w:val="18"/>
              </w:rPr>
              <w:t>Teil</w:t>
            </w:r>
          </w:p>
        </w:tc>
        <w:tc>
          <w:tcPr>
            <w:tcW w:type="dxa" w:w="7427"/>
            <w:shd w:fill="0B1D33"/>
            <w:tcMar>
              <w:top w:w="80" w:type="dxa"/>
              <w:start w:w="90" w:type="dxa"/>
              <w:bottom w:w="80" w:type="dxa"/>
              <w:end w:w="90" w:type="dxa"/>
            </w:tcMar>
            <w:vAlign w:val="center"/>
          </w:tcPr>
          <w:p>
            <w:r>
              <w:rPr>
                <w:rFonts w:ascii="Aptos" w:hAnsi="Aptos"/>
                <w:b/>
                <w:color w:val="FDFBF6"/>
                <w:sz w:val="18"/>
              </w:rPr>
              <w:t>Abschnitt</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Titelseite, Abstract, Leseweg und Status</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II</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Forschungsfrage, Begriffe, Korpus und Gates</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III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Zwölf zusammenhängende Falldossiers</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IV</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Vergleichende Ergebnisse und Atlasfolgen</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V</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Methodenanhang</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VI</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Fall-, Weg- und Quellenregister</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VII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Reproduktion, Zitierweise und Transparenz</w:t>
            </w:r>
          </w:p>
        </w:tc>
      </w:tr>
    </w:tbl>
    <w:p>
      <w:pPr>
        <w:spacing w:after="0"/>
      </w:pPr>
    </w:p>
    <w:p>
      <w:pPr>
        <w:pStyle w:val="Heading2"/>
      </w:pPr>
      <w:r>
        <w:t>Leseprinzip</w:t>
      </w:r>
    </w:p>
    <w:p>
      <w:pPr>
        <w:jc w:val="both"/>
      </w:pPr>
      <w:r>
        <w:rPr>
          <w:rFonts w:ascii="Aptos" w:hAnsi="Aptos"/>
          <w:i w:val="0"/>
          <w:color w:val="162536"/>
          <w:sz w:val="20"/>
        </w:rPr>
        <w:t>Quellenbefund, Cassin-Struktur, Gegenmodell und Atlasfolge besitzen getrennte Geltung. Jede Fallanalyse hält diese Ebenen sichtbar auseinander. Die maschinenlesbaren Register bleiben für Einzelentscheidungen maßgeblich.</w:t>
      </w:r>
    </w:p>
    <w:p>
      <w:pPr>
        <w:pStyle w:val="Heading1"/>
      </w:pPr>
      <w:r>
        <w:t>Status und Entscheidungsgrenze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850"/>
            <w:shd w:fill="0B1D33"/>
            <w:tcMar>
              <w:top w:w="80" w:type="dxa"/>
              <w:start w:w="90" w:type="dxa"/>
              <w:bottom w:w="80" w:type="dxa"/>
              <w:end w:w="90" w:type="dxa"/>
            </w:tcMar>
            <w:vAlign w:val="center"/>
          </w:tcPr>
          <w:p>
            <w:r>
              <w:rPr>
                <w:rFonts w:ascii="Aptos" w:hAnsi="Aptos"/>
                <w:b/>
                <w:color w:val="FDFBF6"/>
                <w:sz w:val="16"/>
              </w:rPr>
              <w:t>Gate</w:t>
            </w:r>
          </w:p>
        </w:tc>
        <w:tc>
          <w:tcPr>
            <w:tcW w:type="dxa" w:w="2551"/>
            <w:shd w:fill="0B1D33"/>
            <w:tcMar>
              <w:top w:w="80" w:type="dxa"/>
              <w:start w:w="90" w:type="dxa"/>
              <w:bottom w:w="80" w:type="dxa"/>
              <w:end w:w="90" w:type="dxa"/>
            </w:tcMar>
            <w:vAlign w:val="center"/>
          </w:tcPr>
          <w:p>
            <w:r>
              <w:rPr>
                <w:rFonts w:ascii="Aptos" w:hAnsi="Aptos"/>
                <w:b/>
                <w:color w:val="FDFBF6"/>
                <w:sz w:val="16"/>
              </w:rPr>
              <w:t>Stand</w:t>
            </w:r>
          </w:p>
        </w:tc>
        <w:tc>
          <w:tcPr>
            <w:tcW w:type="dxa" w:w="5556"/>
            <w:shd w:fill="0B1D33"/>
            <w:tcMar>
              <w:top w:w="80" w:type="dxa"/>
              <w:start w:w="90" w:type="dxa"/>
              <w:bottom w:w="80" w:type="dxa"/>
              <w:end w:w="90" w:type="dxa"/>
            </w:tcMar>
            <w:vAlign w:val="center"/>
          </w:tcPr>
          <w:p>
            <w:r>
              <w:rPr>
                <w:rFonts w:ascii="Aptos" w:hAnsi="Aptos"/>
                <w:b/>
                <w:color w:val="FDFBF6"/>
                <w:sz w:val="16"/>
              </w:rPr>
              <w:t>Bedeutung</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C0</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Ausgaben fixiert</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mit Rechte- und Seitenreservaten</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C1</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12/12</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Atlasanker zurückgelesen</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C2</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12/12</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Strukturentscheidungen</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C3</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12 · 24 · 24</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Gruppen · Paare · Wege</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C4</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24/24</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endgültig adjudiziert</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C5</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bounded pass</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nichtmenschliche Gegenprüfung</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C6</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complete</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mit bindenden Vorbehalten</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C7</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Berichtspaket</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keine Atlasintegration</w:t>
            </w:r>
          </w:p>
        </w:tc>
      </w:tr>
    </w:tbl>
    <w:p>
      <w:pPr>
        <w:spacing w:after="0"/>
      </w:pPr>
    </w:p>
    <w:p>
      <w:pPr>
        <w:jc w:val="both"/>
      </w:pPr>
      <w:r>
        <w:rPr>
          <w:rFonts w:ascii="Aptos" w:hAnsi="Aptos"/>
          <w:i w:val="0"/>
          <w:color w:val="162536"/>
          <w:sz w:val="20"/>
        </w:rPr>
        <w:t>C7 erzeugt ein geprüftes Berichtspaket. Es öffnet weder die kanonische Atlasintegration noch eine öffentliche Publikation. Forschungsabschluss, redaktionelle Auswahl, Datenänderung und Deployment bleiben verschiedene Zustände.</w:t>
      </w:r>
    </w:p>
    <w:p>
      <w:pPr>
        <w:spacing w:before="80" w:after="120"/>
      </w:pPr>
      <w:r>
        <w:rPr>
          <w:rFonts w:ascii="Aptos" w:hAnsi="Aptos"/>
          <w:b/>
          <w:color w:val="C79A3B"/>
          <w:sz w:val="17"/>
        </w:rPr>
        <w:t xml:space="preserve">ENDSTATUS  </w:t>
      </w:r>
      <w:r>
        <w:rPr>
          <w:rFonts w:ascii="Aptos" w:hAnsi="Aptos"/>
          <w:color w:val="162536"/>
          <w:sz w:val="20"/>
        </w:rPr>
        <w:t>C7_REPORT_PACKAGE_COMPLETE_WITH_MANDATORY_RESERVATIONS</w:t>
      </w:r>
    </w:p>
    <w:p>
      <w:pPr>
        <w:pStyle w:val="Heading1"/>
        <w:pageBreakBefore/>
      </w:pPr>
      <w:r>
        <w:t>1 Forschungsgegenstand und Leitfragen</w:t>
      </w:r>
    </w:p>
    <w:p>
      <w:pPr>
        <w:jc w:val="both"/>
      </w:pPr>
      <w:r>
        <w:rPr>
          <w:rFonts w:ascii="Aptos" w:hAnsi="Aptos"/>
          <w:i w:val="0"/>
          <w:color w:val="162536"/>
          <w:sz w:val="20"/>
        </w:rPr>
        <w:t>Das Projekt fragt, wie philosophisch und kulturgeschichtlich belastete Begriffe über Sprachen hinweg verglichen werden können, ohne Wortgleichheit, Begriffsidentität oder absolute Unübersetzbarkeit vorwegzunehmen. Die zwölf Fälle verbinden Metabegriffe des Übersetzens, Grenzbegriffe und kulturgebundene Reichweitenkontrollen.</w:t>
      </w:r>
    </w:p>
    <w:p>
      <w:pPr>
        <w:spacing w:after="60"/>
        <w:ind w:left="312" w:hanging="312"/>
        <w:jc w:val="both"/>
      </w:pPr>
      <w:r>
        <w:rPr>
          <w:rFonts w:ascii="Aptos" w:hAnsi="Aptos"/>
          <w:b/>
          <w:color w:val="162536"/>
          <w:sz w:val="20"/>
        </w:rPr>
        <w:t xml:space="preserve">1.  </w:t>
      </w:r>
      <w:r>
        <w:rPr>
          <w:rFonts w:ascii="Aptos" w:hAnsi="Aptos"/>
          <w:color w:val="162536"/>
          <w:sz w:val="20"/>
        </w:rPr>
        <w:t>Welche Struktur besitzt jeder Fall in FR2004 und EN2014?</w:t>
      </w:r>
    </w:p>
    <w:p>
      <w:pPr>
        <w:spacing w:after="60"/>
        <w:ind w:left="312" w:hanging="312"/>
        <w:jc w:val="both"/>
      </w:pPr>
      <w:r>
        <w:rPr>
          <w:rFonts w:ascii="Aptos" w:hAnsi="Aptos"/>
          <w:b/>
          <w:color w:val="162536"/>
          <w:sz w:val="20"/>
        </w:rPr>
        <w:t xml:space="preserve">2.  </w:t>
      </w:r>
      <w:r>
        <w:rPr>
          <w:rFonts w:ascii="Aptos" w:hAnsi="Aptos"/>
          <w:color w:val="162536"/>
          <w:sz w:val="20"/>
        </w:rPr>
        <w:t>Welche historische und fachsprachliche Evidenz trägt oder begrenzt den Begriff?</w:t>
      </w:r>
    </w:p>
    <w:p>
      <w:pPr>
        <w:spacing w:after="60"/>
        <w:ind w:left="312" w:hanging="312"/>
        <w:jc w:val="both"/>
      </w:pPr>
      <w:r>
        <w:rPr>
          <w:rFonts w:ascii="Aptos" w:hAnsi="Aptos"/>
          <w:b/>
          <w:color w:val="162536"/>
          <w:sz w:val="20"/>
        </w:rPr>
        <w:t xml:space="preserve">3.  </w:t>
      </w:r>
      <w:r>
        <w:rPr>
          <w:rFonts w:ascii="Aptos" w:hAnsi="Aptos"/>
          <w:color w:val="162536"/>
          <w:sz w:val="20"/>
        </w:rPr>
        <w:t>Was zeigen zwei publizierte Übersetzungen derselben Passage unter einem vorab fixierten Kriterium?</w:t>
      </w:r>
    </w:p>
    <w:p>
      <w:pPr>
        <w:spacing w:after="60"/>
        <w:ind w:left="312" w:hanging="312"/>
        <w:jc w:val="both"/>
      </w:pPr>
      <w:r>
        <w:rPr>
          <w:rFonts w:ascii="Aptos" w:hAnsi="Aptos"/>
          <w:b/>
          <w:color w:val="162536"/>
          <w:sz w:val="20"/>
        </w:rPr>
        <w:t xml:space="preserve">4.  </w:t>
      </w:r>
      <w:r>
        <w:rPr>
          <w:rFonts w:ascii="Aptos" w:hAnsi="Aptos"/>
          <w:color w:val="162536"/>
          <w:sz w:val="20"/>
        </w:rPr>
        <w:t>Welches Gegenmodell verhindert eine selbstbestätigende Auslegung?</w:t>
      </w:r>
    </w:p>
    <w:p>
      <w:pPr>
        <w:spacing w:after="60"/>
        <w:ind w:left="312" w:hanging="312"/>
        <w:jc w:val="both"/>
      </w:pPr>
      <w:r>
        <w:rPr>
          <w:rFonts w:ascii="Aptos" w:hAnsi="Aptos"/>
          <w:b/>
          <w:color w:val="162536"/>
          <w:sz w:val="20"/>
        </w:rPr>
        <w:t xml:space="preserve">5.  </w:t>
      </w:r>
      <w:r>
        <w:rPr>
          <w:rFonts w:ascii="Aptos" w:hAnsi="Aptos"/>
          <w:color w:val="162536"/>
          <w:sz w:val="20"/>
        </w:rPr>
        <w:t>Welche Forschungsfolge ergibt sich für den Atlasanker, ohne ihn zu verändern?</w:t>
      </w:r>
    </w:p>
    <w:p>
      <w:pPr>
        <w:pStyle w:val="Heading1"/>
      </w:pPr>
      <w:r>
        <w:t>2 Zentrales Ergebnis</w:t>
      </w:r>
    </w:p>
    <w:p>
      <w:pPr>
        <w:jc w:val="both"/>
      </w:pPr>
      <w:r>
        <w:rPr>
          <w:rFonts w:ascii="Aptos" w:hAnsi="Aptos"/>
          <w:i w:val="0"/>
          <w:color w:val="162536"/>
          <w:sz w:val="20"/>
        </w:rPr>
        <w:t>Nichtäquivalenz erscheint im Pilot als Kombination mehrerer Mechanismen, nicht als Eigenschaft isolierter Wörter. Selbst die vier A-Wege gelten nur in eng begrenzten Fachkontexten. B und C dominieren, weil publizierte Übersetzungen Relationen erhalten und zugleich Bedeutungsränder, grammatische Verpackung oder institutionelle Funktion verschieben.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268"/>
            <w:shd w:fill="0B1D33"/>
            <w:tcMar>
              <w:top w:w="80" w:type="dxa"/>
              <w:start w:w="90" w:type="dxa"/>
              <w:bottom w:w="80" w:type="dxa"/>
              <w:end w:w="90" w:type="dxa"/>
            </w:tcMar>
            <w:vAlign w:val="center"/>
          </w:tcPr>
          <w:p>
            <w:r>
              <w:rPr>
                <w:rFonts w:ascii="Aptos" w:hAnsi="Aptos"/>
                <w:b/>
                <w:color w:val="FDFBF6"/>
                <w:sz w:val="17"/>
              </w:rPr>
              <w:t>Beobachtung</w:t>
            </w:r>
          </w:p>
        </w:tc>
        <w:tc>
          <w:tcPr>
            <w:tcW w:type="dxa" w:w="6576"/>
            <w:shd w:fill="0B1D33"/>
            <w:tcMar>
              <w:top w:w="80" w:type="dxa"/>
              <w:start w:w="90" w:type="dxa"/>
              <w:bottom w:w="80" w:type="dxa"/>
              <w:end w:w="90" w:type="dxa"/>
            </w:tcMar>
            <w:vAlign w:val="center"/>
          </w:tcPr>
          <w:p>
            <w:r>
              <w:rPr>
                <w:rFonts w:ascii="Aptos" w:hAnsi="Aptos"/>
                <w:b/>
                <w:color w:val="FDFBF6"/>
                <w:sz w:val="17"/>
              </w:rPr>
              <w:t>Bedeutung</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4/24 A</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weitgehende Austauschbarkeit bleibt selten und mikrotextgebunden</w:t>
            </w:r>
          </w:p>
        </w:tc>
      </w:tr>
      <w:tr>
        <w:tc>
          <w:tcPr>
            <w:tcW w:type="dxa" w:w="2268"/>
            <w:shd w:fill="FAF8F3"/>
            <w:tcMar>
              <w:top w:w="80" w:type="dxa"/>
              <w:start w:w="90" w:type="dxa"/>
              <w:bottom w:w="80" w:type="dxa"/>
              <w:end w:w="90" w:type="dxa"/>
            </w:tcMar>
            <w:vAlign w:val="center"/>
          </w:tcPr>
          <w:p>
            <w:pPr>
              <w:jc w:val="left"/>
            </w:pPr>
            <w:r>
              <w:rPr>
                <w:rFonts w:ascii="Aptos" w:hAnsi="Aptos"/>
                <w:b/>
                <w:color w:val="162536"/>
                <w:sz w:val="17"/>
              </w:rPr>
              <w:t>13/24 B</w:t>
            </w:r>
          </w:p>
        </w:tc>
        <w:tc>
          <w:tcPr>
            <w:tcW w:type="dxa" w:w="6576"/>
            <w:shd w:fill="FAF8F3"/>
            <w:tcMar>
              <w:top w:w="80" w:type="dxa"/>
              <w:start w:w="90" w:type="dxa"/>
              <w:bottom w:w="80" w:type="dxa"/>
              <w:end w:w="90" w:type="dxa"/>
            </w:tcMar>
            <w:vAlign w:val="center"/>
          </w:tcPr>
          <w:p>
            <w:pPr>
              <w:jc w:val="left"/>
            </w:pPr>
            <w:r>
              <w:rPr>
                <w:rFonts w:ascii="Aptos" w:hAnsi="Aptos"/>
                <w:b w:val="0"/>
                <w:color w:val="162536"/>
                <w:sz w:val="17"/>
              </w:rPr>
              <w:t>konventionelle Kontextäquivalenz bildet den Schwerpunkt</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5/24 C</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relevante Überlappung mit verschiedenen Rändern</w:t>
            </w:r>
          </w:p>
        </w:tc>
      </w:tr>
      <w:tr>
        <w:tc>
          <w:tcPr>
            <w:tcW w:type="dxa" w:w="2268"/>
            <w:shd w:fill="FAF8F3"/>
            <w:tcMar>
              <w:top w:w="80" w:type="dxa"/>
              <w:start w:w="90" w:type="dxa"/>
              <w:bottom w:w="80" w:type="dxa"/>
              <w:end w:w="90" w:type="dxa"/>
            </w:tcMar>
            <w:vAlign w:val="center"/>
          </w:tcPr>
          <w:p>
            <w:pPr>
              <w:jc w:val="left"/>
            </w:pPr>
            <w:r>
              <w:rPr>
                <w:rFonts w:ascii="Aptos" w:hAnsi="Aptos"/>
                <w:b/>
                <w:color w:val="162536"/>
                <w:sz w:val="17"/>
              </w:rPr>
              <w:t>2/24 X</w:t>
            </w:r>
          </w:p>
        </w:tc>
        <w:tc>
          <w:tcPr>
            <w:tcW w:type="dxa" w:w="6576"/>
            <w:shd w:fill="FAF8F3"/>
            <w:tcMar>
              <w:top w:w="80" w:type="dxa"/>
              <w:start w:w="90" w:type="dxa"/>
              <w:bottom w:w="80" w:type="dxa"/>
              <w:end w:w="90" w:type="dxa"/>
            </w:tcMar>
            <w:vAlign w:val="center"/>
          </w:tcPr>
          <w:p>
            <w:pPr>
              <w:jc w:val="left"/>
            </w:pPr>
            <w:r>
              <w:rPr>
                <w:rFonts w:ascii="Aptos" w:hAnsi="Aptos"/>
                <w:b w:val="0"/>
                <w:color w:val="162536"/>
                <w:sz w:val="17"/>
              </w:rPr>
              <w:t>Evidenz und Review reichen für CP-011 nicht</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9/12</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Paargruppen unterscheiden sich in Grad oder Mechanismus</w:t>
            </w:r>
          </w:p>
        </w:tc>
      </w:tr>
    </w:tbl>
    <w:p>
      <w:pPr>
        <w:spacing w:after="0"/>
      </w:pPr>
    </w:p>
    <w:p>
      <w:pPr>
        <w:pStyle w:val="Heading1"/>
      </w:pPr>
      <w:r>
        <w:t>3 Begriffliches Arbeitsvokabular</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381"/>
            <w:shd w:fill="0B1D33"/>
            <w:tcMar>
              <w:top w:w="80" w:type="dxa"/>
              <w:start w:w="90" w:type="dxa"/>
              <w:bottom w:w="80" w:type="dxa"/>
              <w:end w:w="90" w:type="dxa"/>
            </w:tcMar>
            <w:vAlign w:val="center"/>
          </w:tcPr>
          <w:p>
            <w:r>
              <w:rPr>
                <w:rFonts w:ascii="Aptos" w:hAnsi="Aptos"/>
                <w:b/>
                <w:color w:val="FDFBF6"/>
                <w:sz w:val="17"/>
              </w:rPr>
              <w:t>Begriff</w:t>
            </w:r>
          </w:p>
        </w:tc>
        <w:tc>
          <w:tcPr>
            <w:tcW w:type="dxa" w:w="6463"/>
            <w:shd w:fill="0B1D33"/>
            <w:tcMar>
              <w:top w:w="80" w:type="dxa"/>
              <w:start w:w="90" w:type="dxa"/>
              <w:bottom w:w="80" w:type="dxa"/>
              <w:end w:w="90" w:type="dxa"/>
            </w:tcMar>
            <w:vAlign w:val="center"/>
          </w:tcPr>
          <w:p>
            <w:r>
              <w:rPr>
                <w:rFonts w:ascii="Aptos" w:hAnsi="Aptos"/>
                <w:b/>
                <w:color w:val="FDFBF6"/>
                <w:sz w:val="17"/>
              </w:rPr>
              <w:t>Arbeitsdefinition</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Entsprechung</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beobachtete Relation in einem benannten Kontext</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Äquivalenz</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begründete Austauschbarkeit oder Kommensurabilität unter einem Kriterium</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Nichtäquivalenz</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relevante Differenz trotz möglicher Übersetzbarkeit</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Unübersetzbarkeit</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parametrisierte Grenze verlustfreier Form- und Funktionsgleichheit</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Abwesenheit</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dokumentierter Nichtfund im geprüften Editionskorpus</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Gegenmodell</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explizite Theorie, die die Leitthese begrenzt oder anders parametrisiert</w:t>
            </w:r>
          </w:p>
        </w:tc>
      </w:tr>
    </w:tbl>
    <w:p>
      <w:pPr>
        <w:spacing w:after="0"/>
      </w:pPr>
    </w:p>
    <w:p>
      <w:pPr>
        <w:spacing w:before="80" w:after="120"/>
      </w:pPr>
      <w:r>
        <w:rPr>
          <w:rFonts w:ascii="Aptos" w:hAnsi="Aptos"/>
          <w:b/>
          <w:color w:val="C79A3B"/>
          <w:sz w:val="17"/>
        </w:rPr>
        <w:t xml:space="preserve">SPERRE  </w:t>
      </w:r>
      <w:r>
        <w:rPr>
          <w:rFonts w:ascii="Aptos" w:hAnsi="Aptos"/>
          <w:color w:val="162536"/>
          <w:sz w:val="20"/>
        </w:rPr>
        <w:t>Nichtäquivalenz ist nicht automatisch Unübersetzbarkeit; Korpusabwesenheit ist kein semantischer Negativbefund.</w:t>
      </w:r>
    </w:p>
    <w:p>
      <w:pPr>
        <w:pStyle w:val="Heading1"/>
      </w:pPr>
      <w:r>
        <w:t>4 Korpus und Ausgaben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984"/>
            <w:shd w:fill="0B1D33"/>
            <w:tcMar>
              <w:top w:w="80" w:type="dxa"/>
              <w:start w:w="90" w:type="dxa"/>
              <w:bottom w:w="80" w:type="dxa"/>
              <w:end w:w="90" w:type="dxa"/>
            </w:tcMar>
            <w:vAlign w:val="center"/>
          </w:tcPr>
          <w:p>
            <w:r>
              <w:rPr>
                <w:rFonts w:ascii="Aptos" w:hAnsi="Aptos"/>
                <w:b/>
                <w:color w:val="FDFBF6"/>
                <w:sz w:val="16"/>
              </w:rPr>
              <w:t>Korpus</w:t>
            </w:r>
          </w:p>
        </w:tc>
        <w:tc>
          <w:tcPr>
            <w:tcW w:type="dxa" w:w="4592"/>
            <w:shd w:fill="0B1D33"/>
            <w:tcMar>
              <w:top w:w="80" w:type="dxa"/>
              <w:start w:w="90" w:type="dxa"/>
              <w:bottom w:w="80" w:type="dxa"/>
              <w:end w:w="90" w:type="dxa"/>
            </w:tcMar>
            <w:vAlign w:val="center"/>
          </w:tcPr>
          <w:p>
            <w:r>
              <w:rPr>
                <w:rFonts w:ascii="Aptos" w:hAnsi="Aptos"/>
                <w:b/>
                <w:color w:val="FDFBF6"/>
                <w:sz w:val="16"/>
              </w:rPr>
              <w:t>Funktion</w:t>
            </w:r>
          </w:p>
        </w:tc>
        <w:tc>
          <w:tcPr>
            <w:tcW w:type="dxa" w:w="2268"/>
            <w:shd w:fill="0B1D33"/>
            <w:tcMar>
              <w:top w:w="80" w:type="dxa"/>
              <w:start w:w="90" w:type="dxa"/>
              <w:bottom w:w="80" w:type="dxa"/>
              <w:end w:w="90" w:type="dxa"/>
            </w:tcMar>
            <w:vAlign w:val="center"/>
          </w:tcPr>
          <w:p>
            <w:r>
              <w:rPr>
                <w:rFonts w:ascii="Aptos" w:hAnsi="Aptos"/>
                <w:b/>
                <w:color w:val="FDFBF6"/>
                <w:sz w:val="16"/>
              </w:rPr>
              <w:t>Status</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FR2004</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französische Ausgangsausgabe</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vollständige Strukturprüfung</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EN2014</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englische Vergleichs- und Transformationsausgabe</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vollständige Strukturprüfung über lizenzierten Onlinezugang</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Primärtexte</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historische Begriffs- und Gebrauchsschichten</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S2</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Lexikografie</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Formen, Datierung und Bedeutungsfelder</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S3</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Same Passage</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zwei publizierte Ziele pro Ausgangspassage</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S4</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Gegenmodelle</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adversariale Theorieprüfung</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S5</w:t>
            </w:r>
          </w:p>
        </w:tc>
      </w:tr>
    </w:tbl>
    <w:p>
      <w:pPr>
        <w:spacing w:after="0"/>
      </w:pPr>
    </w:p>
    <w:p>
      <w:pPr>
        <w:jc w:val="both"/>
      </w:pPr>
      <w:r>
        <w:rPr>
          <w:rFonts w:ascii="Aptos" w:hAnsi="Aptos"/>
          <w:i w:val="0"/>
          <w:color w:val="162536"/>
          <w:sz w:val="20"/>
        </w:rPr>
        <w:t>Die nicht digital verfügbare französische Neuausgabe von 2019 wurde nach der Projektentscheidung nicht zur Abschlussbedingung gemacht. Der Erkenntnisgewinn des englischen Vergleichs war für die englische Atlasausgabe größer. Aussagen zur Abwesenheit bleiben daher strikt auf FR2004 und EN2014 begrenzt.</w:t>
      </w:r>
    </w:p>
    <w:p>
      <w:pPr>
        <w:pStyle w:val="Heading1"/>
      </w:pPr>
      <w:r>
        <w:t>5 Gatefolge C0 bis C7</w:t>
      </w:r>
    </w:p>
    <w:p>
      <w:pPr>
        <w:spacing w:before="80" w:after="40"/>
        <w:jc w:val="center"/>
      </w:pPr>
      <w:r>
        <w:drawing>
          <wp:inline xmlns:a="http://schemas.openxmlformats.org/drawingml/2006/main" xmlns:pic="http://schemas.openxmlformats.org/drawingml/2006/picture">
            <wp:extent cx="5652000" cy="2637600"/>
            <wp:docPr id="2" name="Picture 2" title="Diagramm der acht Gates C0 bis C7" descr="Diagramm der acht Gates C0 bis C7"/>
            <wp:cNvGraphicFramePr>
              <a:graphicFrameLocks noChangeAspect="1"/>
            </wp:cNvGraphicFramePr>
            <a:graphic>
              <a:graphicData uri="http://schemas.openxmlformats.org/drawingml/2006/picture">
                <pic:pic>
                  <pic:nvPicPr>
                    <pic:cNvPr id="0" name="cassin-gates-de.png"/>
                    <pic:cNvPicPr/>
                  </pic:nvPicPr>
                  <pic:blipFill>
                    <a:blip r:embed="rId20"/>
                    <a:stretch>
                      <a:fillRect/>
                    </a:stretch>
                  </pic:blipFill>
                  <pic:spPr>
                    <a:xfrm>
                      <a:off x="0" y="0"/>
                      <a:ext cx="5652000" cy="2637600"/>
                    </a:xfrm>
                    <a:prstGeom prst="rect"/>
                  </pic:spPr>
                </pic:pic>
              </a:graphicData>
            </a:graphic>
          </wp:inline>
        </w:drawing>
      </w:r>
    </w:p>
    <w:p>
      <w:pPr>
        <w:spacing w:after="80"/>
        <w:jc w:val="center"/>
      </w:pPr>
      <w:r>
        <w:rPr>
          <w:rFonts w:ascii="Aptos" w:hAnsi="Aptos"/>
          <w:color w:val="5D6B75"/>
          <w:sz w:val="15"/>
        </w:rPr>
        <w:t>Abb. 1 · Die Gatefolge trennt Erwerb, Strukturprüfung, Evidenz, Codierung, Synthese und Bericht.</w:t>
      </w:r>
    </w:p>
    <w:p>
      <w:pPr>
        <w:jc w:val="both"/>
      </w:pPr>
      <w:r>
        <w:rPr>
          <w:rFonts w:ascii="Aptos" w:hAnsi="Aptos"/>
          <w:i w:val="0"/>
          <w:color w:val="162536"/>
          <w:sz w:val="20"/>
        </w:rPr>
        <w:t>Ein späteres Gate ersetzt kein früheres. Die C4-Codes heben Rechtevorbehalte nicht auf; C5-Simulationen ersetzen keinen menschlichen Review; C7 macht Forschungsbefunde nicht integrationsfähig.</w:t>
      </w:r>
    </w:p>
    <w:p>
      <w:pPr>
        <w:pStyle w:val="Heading1"/>
      </w:pPr>
      <w:r>
        <w:t>6 Gate C0 Ausgaben und Rechte</w:t>
      </w:r>
    </w:p>
    <w:p>
      <w:pPr>
        <w:jc w:val="both"/>
      </w:pPr>
      <w:r>
        <w:rPr>
          <w:rFonts w:ascii="Aptos" w:hAnsi="Aptos"/>
          <w:i w:val="0"/>
          <w:color w:val="162536"/>
          <w:sz w:val="20"/>
        </w:rPr>
        <w:t>C0 fixierte Werkidentität, Ausgabe, Zugang, Paginierung und Zitiergrenze, bevor die zwölf Begriffe klassifiziert wurden. FR2004 wurde als französische Referenz, EN2014 als eigenständige Vergleichsausgabe behandelt. Der Zugang zu einer Datei oder Plattform wurde nie als offene Nachnutzungslizenz interpretiert.</w:t>
      </w:r>
    </w:p>
    <w:p>
      <w:pPr>
        <w:spacing w:after="60"/>
        <w:ind w:left="312" w:hanging="312"/>
        <w:jc w:val="both"/>
      </w:pPr>
      <w:r>
        <w:rPr>
          <w:rFonts w:ascii="Aptos" w:hAnsi="Aptos"/>
          <w:b/>
          <w:color w:val="162536"/>
          <w:sz w:val="19"/>
        </w:rPr>
        <w:t xml:space="preserve">1.  </w:t>
      </w:r>
      <w:r>
        <w:rPr>
          <w:rFonts w:ascii="Aptos" w:hAnsi="Aptos"/>
          <w:color w:val="162536"/>
          <w:sz w:val="19"/>
        </w:rPr>
        <w:t>bibliografische Identität vor Seitenangabe</w:t>
      </w:r>
    </w:p>
    <w:p>
      <w:pPr>
        <w:spacing w:after="60"/>
        <w:ind w:left="312" w:hanging="312"/>
        <w:jc w:val="both"/>
      </w:pPr>
      <w:r>
        <w:rPr>
          <w:rFonts w:ascii="Aptos" w:hAnsi="Aptos"/>
          <w:b/>
          <w:color w:val="162536"/>
          <w:sz w:val="19"/>
        </w:rPr>
        <w:t xml:space="preserve">2.  </w:t>
      </w:r>
      <w:r>
        <w:rPr>
          <w:rFonts w:ascii="Aptos" w:hAnsi="Aptos"/>
          <w:color w:val="162536"/>
          <w:sz w:val="19"/>
        </w:rPr>
        <w:t>Seitenstabilität getrennt von Werkidentität</w:t>
      </w:r>
    </w:p>
    <w:p>
      <w:pPr>
        <w:spacing w:after="60"/>
        <w:ind w:left="312" w:hanging="312"/>
        <w:jc w:val="both"/>
      </w:pPr>
      <w:r>
        <w:rPr>
          <w:rFonts w:ascii="Aptos" w:hAnsi="Aptos"/>
          <w:b/>
          <w:color w:val="162536"/>
          <w:sz w:val="19"/>
        </w:rPr>
        <w:t xml:space="preserve">3.  </w:t>
      </w:r>
      <w:r>
        <w:rPr>
          <w:rFonts w:ascii="Aptos" w:hAnsi="Aptos"/>
          <w:color w:val="162536"/>
          <w:sz w:val="19"/>
        </w:rPr>
        <w:t>Textrechte getrennt von Scan- und Plattformrechten</w:t>
      </w:r>
    </w:p>
    <w:p>
      <w:pPr>
        <w:spacing w:after="60"/>
        <w:ind w:left="312" w:hanging="312"/>
        <w:jc w:val="both"/>
      </w:pPr>
      <w:r>
        <w:rPr>
          <w:rFonts w:ascii="Aptos" w:hAnsi="Aptos"/>
          <w:b/>
          <w:color w:val="162536"/>
          <w:sz w:val="19"/>
        </w:rPr>
        <w:t xml:space="preserve">4.  </w:t>
      </w:r>
      <w:r>
        <w:rPr>
          <w:rFonts w:ascii="Aptos" w:hAnsi="Aptos"/>
          <w:color w:val="162536"/>
          <w:sz w:val="19"/>
        </w:rPr>
        <w:t>Kurzzitat statt Volltextübernahme bei geschützten Übersetzungen</w:t>
      </w:r>
    </w:p>
    <w:p>
      <w:pPr>
        <w:pStyle w:val="Heading1"/>
      </w:pPr>
      <w:r>
        <w:t>7 Gate C1 Atlasrücklesung</w:t>
      </w:r>
    </w:p>
    <w:p>
      <w:pPr>
        <w:jc w:val="both"/>
      </w:pPr>
      <w:r>
        <w:rPr>
          <w:rFonts w:ascii="Aptos" w:hAnsi="Aptos"/>
          <w:i w:val="0"/>
          <w:color w:val="162536"/>
          <w:sz w:val="20"/>
        </w:rPr>
        <w:t>Für jeden Fall wurde die aktuelle kanonische Atlas-Kurzdefinition mit Atlas-ID zurückgelesen. Diese Rücklesung ist eine kontrollierte Ausgangsbeschreibung, kein Ziel, das die Forschung bestätigen muss. Die Fallregister führen deshalb Atlasanker und Forschungsfolge getrennt.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191"/>
            <w:shd w:fill="0B1D33"/>
            <w:tcMar>
              <w:top w:w="80" w:type="dxa"/>
              <w:start w:w="90" w:type="dxa"/>
              <w:bottom w:w="80" w:type="dxa"/>
              <w:end w:w="90" w:type="dxa"/>
            </w:tcMar>
            <w:vAlign w:val="center"/>
          </w:tcPr>
          <w:p>
            <w:r>
              <w:rPr>
                <w:rFonts w:ascii="Aptos" w:hAnsi="Aptos"/>
                <w:b/>
                <w:color w:val="FDFBF6"/>
                <w:sz w:val="17"/>
              </w:rPr>
              <w:t>Fallgruppe</w:t>
            </w:r>
          </w:p>
        </w:tc>
        <w:tc>
          <w:tcPr>
            <w:tcW w:type="dxa" w:w="1928"/>
            <w:shd w:fill="0B1D33"/>
            <w:tcMar>
              <w:top w:w="80" w:type="dxa"/>
              <w:start w:w="90" w:type="dxa"/>
              <w:bottom w:w="80" w:type="dxa"/>
              <w:end w:w="90" w:type="dxa"/>
            </w:tcMar>
            <w:vAlign w:val="center"/>
          </w:tcPr>
          <w:p>
            <w:r>
              <w:rPr>
                <w:rFonts w:ascii="Aptos" w:hAnsi="Aptos"/>
                <w:b/>
                <w:color w:val="FDFBF6"/>
                <w:sz w:val="17"/>
              </w:rPr>
              <w:t>Fälle</w:t>
            </w:r>
          </w:p>
        </w:tc>
        <w:tc>
          <w:tcPr>
            <w:tcW w:type="dxa" w:w="5726"/>
            <w:shd w:fill="0B1D33"/>
            <w:tcMar>
              <w:top w:w="80" w:type="dxa"/>
              <w:start w:w="90" w:type="dxa"/>
              <w:bottom w:w="80" w:type="dxa"/>
              <w:end w:w="90" w:type="dxa"/>
            </w:tcMar>
            <w:vAlign w:val="center"/>
          </w:tcPr>
          <w:p>
            <w:r>
              <w:rPr>
                <w:rFonts w:ascii="Aptos" w:hAnsi="Aptos"/>
                <w:b/>
                <w:color w:val="FDFBF6"/>
                <w:sz w:val="17"/>
              </w:rPr>
              <w:t>Prüffunktion</w:t>
            </w:r>
          </w:p>
        </w:tc>
      </w:tr>
      <w:tr>
        <w:tc>
          <w:tcPr>
            <w:tcW w:type="dxa" w:w="1191"/>
            <w:shd w:fill="F1EDE3"/>
            <w:tcMar>
              <w:top w:w="80" w:type="dxa"/>
              <w:start w:w="90" w:type="dxa"/>
              <w:bottom w:w="80" w:type="dxa"/>
              <w:end w:w="90" w:type="dxa"/>
            </w:tcMar>
            <w:vAlign w:val="center"/>
          </w:tcPr>
          <w:p>
            <w:pPr>
              <w:jc w:val="left"/>
            </w:pPr>
            <w:r>
              <w:rPr>
                <w:rFonts w:ascii="Aptos" w:hAnsi="Aptos"/>
                <w:b/>
                <w:color w:val="162536"/>
                <w:sz w:val="17"/>
              </w:rPr>
              <w:t>A</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7"/>
              </w:rPr>
              <w:t>CP-001–003</w:t>
            </w:r>
          </w:p>
        </w:tc>
        <w:tc>
          <w:tcPr>
            <w:tcW w:type="dxa" w:w="5726"/>
            <w:shd w:fill="F1EDE3"/>
            <w:tcMar>
              <w:top w:w="80" w:type="dxa"/>
              <w:start w:w="90" w:type="dxa"/>
              <w:bottom w:w="80" w:type="dxa"/>
              <w:end w:w="90" w:type="dxa"/>
            </w:tcMar>
            <w:vAlign w:val="center"/>
          </w:tcPr>
          <w:p>
            <w:pPr>
              <w:jc w:val="left"/>
            </w:pPr>
            <w:r>
              <w:rPr>
                <w:rFonts w:ascii="Aptos" w:hAnsi="Aptos"/>
                <w:b w:val="0"/>
                <w:color w:val="162536"/>
                <w:sz w:val="17"/>
              </w:rPr>
              <w:t>Metabegriffe des Übersetzens</w:t>
            </w:r>
          </w:p>
        </w:tc>
      </w:tr>
      <w:tr>
        <w:tc>
          <w:tcPr>
            <w:tcW w:type="dxa" w:w="1191"/>
            <w:shd w:fill="FAF8F3"/>
            <w:tcMar>
              <w:top w:w="80" w:type="dxa"/>
              <w:start w:w="90" w:type="dxa"/>
              <w:bottom w:w="80" w:type="dxa"/>
              <w:end w:w="90" w:type="dxa"/>
            </w:tcMar>
            <w:vAlign w:val="center"/>
          </w:tcPr>
          <w:p>
            <w:pPr>
              <w:jc w:val="left"/>
            </w:pPr>
            <w:r>
              <w:rPr>
                <w:rFonts w:ascii="Aptos" w:hAnsi="Aptos"/>
                <w:b/>
                <w:color w:val="162536"/>
                <w:sz w:val="17"/>
              </w:rPr>
              <w:t>B</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7"/>
              </w:rPr>
              <w:t>CP-004–006</w:t>
            </w:r>
          </w:p>
        </w:tc>
        <w:tc>
          <w:tcPr>
            <w:tcW w:type="dxa" w:w="5726"/>
            <w:shd w:fill="FAF8F3"/>
            <w:tcMar>
              <w:top w:w="80" w:type="dxa"/>
              <w:start w:w="90" w:type="dxa"/>
              <w:bottom w:w="80" w:type="dxa"/>
              <w:end w:w="90" w:type="dxa"/>
            </w:tcMar>
            <w:vAlign w:val="center"/>
          </w:tcPr>
          <w:p>
            <w:pPr>
              <w:jc w:val="left"/>
            </w:pPr>
            <w:r>
              <w:rPr>
                <w:rFonts w:ascii="Aptos" w:hAnsi="Aptos"/>
                <w:b w:val="0"/>
                <w:color w:val="162536"/>
                <w:sz w:val="17"/>
              </w:rPr>
              <w:t>Grenzen zwischen Wort, Disziplin und Geschichte</w:t>
            </w:r>
          </w:p>
        </w:tc>
      </w:tr>
      <w:tr>
        <w:tc>
          <w:tcPr>
            <w:tcW w:type="dxa" w:w="1191"/>
            <w:shd w:fill="F1EDE3"/>
            <w:tcMar>
              <w:top w:w="80" w:type="dxa"/>
              <w:start w:w="90" w:type="dxa"/>
              <w:bottom w:w="80" w:type="dxa"/>
              <w:end w:w="90" w:type="dxa"/>
            </w:tcMar>
            <w:vAlign w:val="center"/>
          </w:tcPr>
          <w:p>
            <w:pPr>
              <w:jc w:val="left"/>
            </w:pPr>
            <w:r>
              <w:rPr>
                <w:rFonts w:ascii="Aptos" w:hAnsi="Aptos"/>
                <w:b/>
                <w:color w:val="162536"/>
                <w:sz w:val="17"/>
              </w:rPr>
              <w:t>C</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7"/>
              </w:rPr>
              <w:t>CP-007–009</w:t>
            </w:r>
          </w:p>
        </w:tc>
        <w:tc>
          <w:tcPr>
            <w:tcW w:type="dxa" w:w="5726"/>
            <w:shd w:fill="F1EDE3"/>
            <w:tcMar>
              <w:top w:w="80" w:type="dxa"/>
              <w:start w:w="90" w:type="dxa"/>
              <w:bottom w:w="80" w:type="dxa"/>
              <w:end w:w="90" w:type="dxa"/>
            </w:tcMar>
            <w:vAlign w:val="center"/>
          </w:tcPr>
          <w:p>
            <w:pPr>
              <w:jc w:val="left"/>
            </w:pPr>
            <w:r>
              <w:rPr>
                <w:rFonts w:ascii="Aptos" w:hAnsi="Aptos"/>
                <w:b w:val="0"/>
                <w:color w:val="162536"/>
                <w:sz w:val="17"/>
              </w:rPr>
              <w:t>philosophische Denkbegriffe</w:t>
            </w:r>
          </w:p>
        </w:tc>
      </w:tr>
      <w:tr>
        <w:tc>
          <w:tcPr>
            <w:tcW w:type="dxa" w:w="1191"/>
            <w:shd w:fill="FAF8F3"/>
            <w:tcMar>
              <w:top w:w="80" w:type="dxa"/>
              <w:start w:w="90" w:type="dxa"/>
              <w:bottom w:w="80" w:type="dxa"/>
              <w:end w:w="90" w:type="dxa"/>
            </w:tcMar>
            <w:vAlign w:val="center"/>
          </w:tcPr>
          <w:p>
            <w:pPr>
              <w:jc w:val="left"/>
            </w:pPr>
            <w:r>
              <w:rPr>
                <w:rFonts w:ascii="Aptos" w:hAnsi="Aptos"/>
                <w:b/>
                <w:color w:val="162536"/>
                <w:sz w:val="17"/>
              </w:rPr>
              <w:t>D</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7"/>
              </w:rPr>
              <w:t>CP-010–012</w:t>
            </w:r>
          </w:p>
        </w:tc>
        <w:tc>
          <w:tcPr>
            <w:tcW w:type="dxa" w:w="5726"/>
            <w:shd w:fill="FAF8F3"/>
            <w:tcMar>
              <w:top w:w="80" w:type="dxa"/>
              <w:start w:w="90" w:type="dxa"/>
              <w:bottom w:w="80" w:type="dxa"/>
              <w:end w:w="90" w:type="dxa"/>
            </w:tcMar>
            <w:vAlign w:val="center"/>
          </w:tcPr>
          <w:p>
            <w:pPr>
              <w:jc w:val="left"/>
            </w:pPr>
            <w:r>
              <w:rPr>
                <w:rFonts w:ascii="Aptos" w:hAnsi="Aptos"/>
                <w:b w:val="0"/>
                <w:color w:val="162536"/>
                <w:sz w:val="17"/>
              </w:rPr>
              <w:t>Reichweiten- und Kulturkontrollen</w:t>
            </w:r>
          </w:p>
        </w:tc>
      </w:tr>
    </w:tbl>
    <w:p>
      <w:pPr>
        <w:spacing w:after="0"/>
      </w:pPr>
    </w:p>
    <w:p>
      <w:pPr>
        <w:pStyle w:val="Heading1"/>
      </w:pPr>
      <w:r>
        <w:t>8 Gate C2 Cassin-Struktur</w:t>
      </w:r>
    </w:p>
    <w:p>
      <w:pPr>
        <w:spacing w:before="80" w:after="40"/>
        <w:jc w:val="center"/>
      </w:pPr>
      <w:r>
        <w:drawing>
          <wp:inline xmlns:a="http://schemas.openxmlformats.org/drawingml/2006/main" xmlns:pic="http://schemas.openxmlformats.org/drawingml/2006/picture">
            <wp:extent cx="5544000" cy="2550240"/>
            <wp:docPr id="3" name="Picture 3" title="Diagramm der vier getrennten Evidenzschichten" descr="Diagramm der vier getrennten Evidenzschichten"/>
            <wp:cNvGraphicFramePr>
              <a:graphicFrameLocks noChangeAspect="1"/>
            </wp:cNvGraphicFramePr>
            <a:graphic>
              <a:graphicData uri="http://schemas.openxmlformats.org/drawingml/2006/picture">
                <pic:pic>
                  <pic:nvPicPr>
                    <pic:cNvPr id="0" name="cassin-structure-de.png"/>
                    <pic:cNvPicPr/>
                  </pic:nvPicPr>
                  <pic:blipFill>
                    <a:blip r:embed="rId21"/>
                    <a:stretch>
                      <a:fillRect/>
                    </a:stretch>
                  </pic:blipFill>
                  <pic:spPr>
                    <a:xfrm>
                      <a:off x="0" y="0"/>
                      <a:ext cx="5544000" cy="2550240"/>
                    </a:xfrm>
                    <a:prstGeom prst="rect"/>
                  </pic:spPr>
                </pic:pic>
              </a:graphicData>
            </a:graphic>
          </wp:inline>
        </w:drawing>
      </w:r>
    </w:p>
    <w:p>
      <w:pPr>
        <w:spacing w:after="80"/>
        <w:jc w:val="center"/>
      </w:pPr>
      <w:r>
        <w:rPr>
          <w:rFonts w:ascii="Aptos" w:hAnsi="Aptos"/>
          <w:color w:val="5D6B75"/>
          <w:sz w:val="15"/>
        </w:rPr>
        <w:t>Abb. 2 · FR2004 und EN2014 besitzen ähnliche Gesamtverteilungen, aber nicht dieselbe Fallstruktur.</w:t>
      </w:r>
    </w:p>
    <w:p>
      <w:pPr>
        <w:jc w:val="both"/>
      </w:pPr>
      <w:r>
        <w:rPr>
          <w:rFonts w:ascii="Aptos" w:hAnsi="Aptos"/>
          <w:i w:val="0"/>
          <w:color w:val="162536"/>
          <w:sz w:val="20"/>
        </w:rPr>
        <w:t>C2 vergab genau eine editionsgebundene Strukturklasse pro Fall: Haupteintrag, Querverweis, Übersetzungscluster oder dokumentierte Abwesenheit. Für Aporie blieb EN2014 als vorhanden, aber nicht clusterqualifiziert. Die Klassifikation beschreibt editorische Sichtbarkeit, nicht philosophische Bedeutung.</w:t>
      </w:r>
    </w:p>
    <w:p>
      <w:pPr>
        <w:pStyle w:val="Heading1"/>
      </w:pPr>
      <w:r>
        <w:t>9 Gate C3 Evidenzarchitektur</w:t>
      </w:r>
    </w:p>
    <w:p>
      <w:pPr>
        <w:spacing w:before="80" w:after="40"/>
        <w:jc w:val="center"/>
      </w:pPr>
      <w:r>
        <w:drawing>
          <wp:inline xmlns:a="http://schemas.openxmlformats.org/drawingml/2006/main" xmlns:pic="http://schemas.openxmlformats.org/drawingml/2006/picture">
            <wp:extent cx="5616000" cy="2321280"/>
            <wp:docPr id="4" name="Picture 4" title="Balkendiagramm der Cassin-Struktur in FR2004 und EN2014" descr="Balkendiagramm der Cassin-Struktur in FR2004 und EN2014"/>
            <wp:cNvGraphicFramePr>
              <a:graphicFrameLocks noChangeAspect="1"/>
            </wp:cNvGraphicFramePr>
            <a:graphic>
              <a:graphicData uri="http://schemas.openxmlformats.org/drawingml/2006/picture">
                <pic:pic>
                  <pic:nvPicPr>
                    <pic:cNvPr id="0" name="cassin-layers-de.png"/>
                    <pic:cNvPicPr/>
                  </pic:nvPicPr>
                  <pic:blipFill>
                    <a:blip r:embed="rId22"/>
                    <a:stretch>
                      <a:fillRect/>
                    </a:stretch>
                  </pic:blipFill>
                  <pic:spPr>
                    <a:xfrm>
                      <a:off x="0" y="0"/>
                      <a:ext cx="5616000" cy="2321280"/>
                    </a:xfrm>
                    <a:prstGeom prst="rect"/>
                  </pic:spPr>
                </pic:pic>
              </a:graphicData>
            </a:graphic>
          </wp:inline>
        </w:drawing>
      </w:r>
    </w:p>
    <w:p>
      <w:pPr>
        <w:spacing w:after="80"/>
        <w:jc w:val="center"/>
      </w:pPr>
      <w:r>
        <w:rPr>
          <w:rFonts w:ascii="Aptos" w:hAnsi="Aptos"/>
          <w:color w:val="5D6B75"/>
          <w:sz w:val="15"/>
        </w:rPr>
        <w:t>Abb. 3 · Vier Evidenzschichten verhindern die Rückableitung vom Atlasziel auf die Quelle.</w:t>
      </w:r>
    </w:p>
    <w:p>
      <w:pPr>
        <w:jc w:val="both"/>
      </w:pPr>
      <w:r>
        <w:rPr>
          <w:rFonts w:ascii="Aptos" w:hAnsi="Aptos"/>
          <w:i w:val="0"/>
          <w:color w:val="162536"/>
          <w:sz w:val="20"/>
        </w:rPr>
        <w:t>Jedes Dossier kombiniert Primärtext, Lexikografie, Same-Passage-Vergleich, Gegenmodell, Negativbefunde und Reviewpaket. C3 schloss mit 164 Quellen, 164 Rechteeinträgen, 173 Passagen, 205 Negativbefunden und 67 Simulationsdatensätzen.</w:t>
      </w:r>
    </w:p>
    <w:p>
      <w:pPr>
        <w:pStyle w:val="Heading1"/>
      </w:pPr>
      <w:r>
        <w:t>10 Quellen und Rechte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061"/>
            <w:shd w:fill="0B1D33"/>
            <w:tcMar>
              <w:top w:w="80" w:type="dxa"/>
              <w:start w:w="90" w:type="dxa"/>
              <w:bottom w:w="80" w:type="dxa"/>
              <w:end w:w="90" w:type="dxa"/>
            </w:tcMar>
            <w:vAlign w:val="center"/>
          </w:tcPr>
          <w:p>
            <w:r>
              <w:rPr>
                <w:rFonts w:ascii="Aptos" w:hAnsi="Aptos"/>
                <w:b/>
                <w:color w:val="FDFBF6"/>
                <w:sz w:val="16"/>
              </w:rPr>
              <w:t>Einheit</w:t>
            </w:r>
          </w:p>
        </w:tc>
        <w:tc>
          <w:tcPr>
            <w:tcW w:type="dxa" w:w="1191"/>
            <w:shd w:fill="0B1D33"/>
            <w:tcMar>
              <w:top w:w="80" w:type="dxa"/>
              <w:start w:w="90" w:type="dxa"/>
              <w:bottom w:w="80" w:type="dxa"/>
              <w:end w:w="90" w:type="dxa"/>
            </w:tcMar>
            <w:vAlign w:val="center"/>
          </w:tcPr>
          <w:p>
            <w:r>
              <w:rPr>
                <w:rFonts w:ascii="Aptos" w:hAnsi="Aptos"/>
                <w:b/>
                <w:color w:val="FDFBF6"/>
                <w:sz w:val="16"/>
              </w:rPr>
              <w:t>Anzahl</w:t>
            </w:r>
          </w:p>
        </w:tc>
        <w:tc>
          <w:tcPr>
            <w:tcW w:type="dxa" w:w="4592"/>
            <w:shd w:fill="0B1D33"/>
            <w:tcMar>
              <w:top w:w="80" w:type="dxa"/>
              <w:start w:w="90" w:type="dxa"/>
              <w:bottom w:w="80" w:type="dxa"/>
              <w:end w:w="90" w:type="dxa"/>
            </w:tcMar>
            <w:vAlign w:val="center"/>
          </w:tcPr>
          <w:p>
            <w:r>
              <w:rPr>
                <w:rFonts w:ascii="Aptos" w:hAnsi="Aptos"/>
                <w:b/>
                <w:color w:val="FDFBF6"/>
                <w:sz w:val="16"/>
              </w:rPr>
              <w:t>Prüfregel</w:t>
            </w:r>
          </w:p>
        </w:tc>
      </w:tr>
      <w:tr>
        <w:tc>
          <w:tcPr>
            <w:tcW w:type="dxa" w:w="3061"/>
            <w:shd w:fill="F1EDE3"/>
            <w:tcMar>
              <w:top w:w="80" w:type="dxa"/>
              <w:start w:w="90" w:type="dxa"/>
              <w:bottom w:w="80" w:type="dxa"/>
              <w:end w:w="90" w:type="dxa"/>
            </w:tcMar>
            <w:vAlign w:val="center"/>
          </w:tcPr>
          <w:p>
            <w:pPr>
              <w:jc w:val="left"/>
            </w:pPr>
            <w:r>
              <w:rPr>
                <w:rFonts w:ascii="Aptos" w:hAnsi="Aptos"/>
                <w:b/>
                <w:color w:val="162536"/>
                <w:sz w:val="16"/>
              </w:rPr>
              <w:t>Quellen</w:t>
            </w:r>
          </w:p>
        </w:tc>
        <w:tc>
          <w:tcPr>
            <w:tcW w:type="dxa" w:w="1191"/>
            <w:shd w:fill="F1EDE3"/>
            <w:tcMar>
              <w:top w:w="80" w:type="dxa"/>
              <w:start w:w="90" w:type="dxa"/>
              <w:bottom w:w="80" w:type="dxa"/>
              <w:end w:w="90" w:type="dxa"/>
            </w:tcMar>
            <w:vAlign w:val="center"/>
          </w:tcPr>
          <w:p>
            <w:pPr>
              <w:jc w:val="left"/>
            </w:pPr>
            <w:r>
              <w:rPr>
                <w:rFonts w:ascii="Aptos" w:hAnsi="Aptos"/>
                <w:b w:val="0"/>
                <w:color w:val="162536"/>
                <w:sz w:val="16"/>
              </w:rPr>
              <w:t>164</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Zitation, Sprache, Ausgabe, Lokator</w:t>
            </w:r>
          </w:p>
        </w:tc>
      </w:tr>
      <w:tr>
        <w:tc>
          <w:tcPr>
            <w:tcW w:type="dxa" w:w="3061"/>
            <w:shd w:fill="FAF8F3"/>
            <w:tcMar>
              <w:top w:w="80" w:type="dxa"/>
              <w:start w:w="90" w:type="dxa"/>
              <w:bottom w:w="80" w:type="dxa"/>
              <w:end w:w="90" w:type="dxa"/>
            </w:tcMar>
            <w:vAlign w:val="center"/>
          </w:tcPr>
          <w:p>
            <w:pPr>
              <w:jc w:val="left"/>
            </w:pPr>
            <w:r>
              <w:rPr>
                <w:rFonts w:ascii="Aptos" w:hAnsi="Aptos"/>
                <w:b/>
                <w:color w:val="162536"/>
                <w:sz w:val="16"/>
              </w:rPr>
              <w:t>Rechte</w:t>
            </w:r>
          </w:p>
        </w:tc>
        <w:tc>
          <w:tcPr>
            <w:tcW w:type="dxa" w:w="1191"/>
            <w:shd w:fill="FAF8F3"/>
            <w:tcMar>
              <w:top w:w="80" w:type="dxa"/>
              <w:start w:w="90" w:type="dxa"/>
              <w:bottom w:w="80" w:type="dxa"/>
              <w:end w:w="90" w:type="dxa"/>
            </w:tcMar>
            <w:vAlign w:val="center"/>
          </w:tcPr>
          <w:p>
            <w:pPr>
              <w:jc w:val="left"/>
            </w:pPr>
            <w:r>
              <w:rPr>
                <w:rFonts w:ascii="Aptos" w:hAnsi="Aptos"/>
                <w:b w:val="0"/>
                <w:color w:val="162536"/>
                <w:sz w:val="16"/>
              </w:rPr>
              <w:t>164</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interne Forschung und öffentliche Nachnutzung getrennt</w:t>
            </w:r>
          </w:p>
        </w:tc>
      </w:tr>
      <w:tr>
        <w:tc>
          <w:tcPr>
            <w:tcW w:type="dxa" w:w="3061"/>
            <w:shd w:fill="F1EDE3"/>
            <w:tcMar>
              <w:top w:w="80" w:type="dxa"/>
              <w:start w:w="90" w:type="dxa"/>
              <w:bottom w:w="80" w:type="dxa"/>
              <w:end w:w="90" w:type="dxa"/>
            </w:tcMar>
            <w:vAlign w:val="center"/>
          </w:tcPr>
          <w:p>
            <w:pPr>
              <w:jc w:val="left"/>
            </w:pPr>
            <w:r>
              <w:rPr>
                <w:rFonts w:ascii="Aptos" w:hAnsi="Aptos"/>
                <w:b/>
                <w:color w:val="162536"/>
                <w:sz w:val="16"/>
              </w:rPr>
              <w:t>Passagen</w:t>
            </w:r>
          </w:p>
        </w:tc>
        <w:tc>
          <w:tcPr>
            <w:tcW w:type="dxa" w:w="1191"/>
            <w:shd w:fill="F1EDE3"/>
            <w:tcMar>
              <w:top w:w="80" w:type="dxa"/>
              <w:start w:w="90" w:type="dxa"/>
              <w:bottom w:w="80" w:type="dxa"/>
              <w:end w:w="90" w:type="dxa"/>
            </w:tcMar>
            <w:vAlign w:val="center"/>
          </w:tcPr>
          <w:p>
            <w:pPr>
              <w:jc w:val="left"/>
            </w:pPr>
            <w:r>
              <w:rPr>
                <w:rFonts w:ascii="Aptos" w:hAnsi="Aptos"/>
                <w:b w:val="0"/>
                <w:color w:val="162536"/>
                <w:sz w:val="16"/>
              </w:rPr>
              <w:t>173</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Wortzahl, Rechte-ID, Same-Passage-Gruppe</w:t>
            </w:r>
          </w:p>
        </w:tc>
      </w:tr>
      <w:tr>
        <w:tc>
          <w:tcPr>
            <w:tcW w:type="dxa" w:w="3061"/>
            <w:shd w:fill="FAF8F3"/>
            <w:tcMar>
              <w:top w:w="80" w:type="dxa"/>
              <w:start w:w="90" w:type="dxa"/>
              <w:bottom w:w="80" w:type="dxa"/>
              <w:end w:w="90" w:type="dxa"/>
            </w:tcMar>
            <w:vAlign w:val="center"/>
          </w:tcPr>
          <w:p>
            <w:pPr>
              <w:jc w:val="left"/>
            </w:pPr>
            <w:r>
              <w:rPr>
                <w:rFonts w:ascii="Aptos" w:hAnsi="Aptos"/>
                <w:b/>
                <w:color w:val="162536"/>
                <w:sz w:val="16"/>
              </w:rPr>
              <w:t>geschützte Passagen über 25 Wörter</w:t>
            </w:r>
          </w:p>
        </w:tc>
        <w:tc>
          <w:tcPr>
            <w:tcW w:type="dxa" w:w="1191"/>
            <w:shd w:fill="FAF8F3"/>
            <w:tcMar>
              <w:top w:w="80" w:type="dxa"/>
              <w:start w:w="90" w:type="dxa"/>
              <w:bottom w:w="80" w:type="dxa"/>
              <w:end w:w="90" w:type="dxa"/>
            </w:tcMar>
            <w:vAlign w:val="center"/>
          </w:tcPr>
          <w:p>
            <w:pPr>
              <w:jc w:val="left"/>
            </w:pPr>
            <w:r>
              <w:rPr>
                <w:rFonts w:ascii="Aptos" w:hAnsi="Aptos"/>
                <w:b w:val="0"/>
                <w:color w:val="162536"/>
                <w:sz w:val="16"/>
              </w:rPr>
              <w:t>0</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Kurzzitatgrenze eingehalten</w:t>
            </w:r>
          </w:p>
        </w:tc>
      </w:tr>
    </w:tbl>
    <w:p>
      <w:pPr>
        <w:spacing w:after="0"/>
      </w:pPr>
    </w:p>
    <w:p>
      <w:pPr>
        <w:jc w:val="both"/>
      </w:pPr>
      <w:r>
        <w:rPr>
          <w:rFonts w:ascii="Aptos" w:hAnsi="Aptos"/>
          <w:i w:val="0"/>
          <w:color w:val="162536"/>
          <w:sz w:val="20"/>
        </w:rPr>
        <w:t>Der Rechtebefund ist konservativ und keine Rechtsberatung. Gemeinfreie historische Texte, moderne Übersetzungen, Plattformtranskriptionen und Scanbilder werden getrennt behandelt. Öffentliche Lesbarkeit gilt nicht als Erlaubnis zur Wiederveröffentlichung.</w:t>
      </w:r>
    </w:p>
    <w:p>
      <w:pPr>
        <w:pStyle w:val="Heading1"/>
      </w:pPr>
      <w:r>
        <w:t>11 Same-Passage-Design</w:t>
      </w:r>
    </w:p>
    <w:p>
      <w:pPr>
        <w:jc w:val="both"/>
      </w:pPr>
      <w:r>
        <w:rPr>
          <w:rFonts w:ascii="Aptos" w:hAnsi="Aptos"/>
          <w:i w:val="0"/>
          <w:color w:val="162536"/>
          <w:sz w:val="20"/>
        </w:rPr>
        <w:t>Jede Gruppe verbindet eine identische Ausgangspassage mit zwei publizierten Übersetzungen. Vor der Auswertung wurde genau ein Kriterium fixiert. Dadurch kann ein Unterschied nicht nachträglich durch Wechsel von Form, Bedeutung, Stil oder Wirkung hergestellt werden.</w:t>
      </w:r>
    </w:p>
    <w:p>
      <w:pPr>
        <w:spacing w:after="60"/>
        <w:ind w:left="312" w:hanging="312"/>
        <w:jc w:val="both"/>
      </w:pPr>
      <w:r>
        <w:rPr>
          <w:rFonts w:ascii="Aptos" w:hAnsi="Aptos"/>
          <w:b/>
          <w:color w:val="162536"/>
          <w:sz w:val="19"/>
        </w:rPr>
        <w:t xml:space="preserve">1.  </w:t>
      </w:r>
      <w:r>
        <w:rPr>
          <w:rFonts w:ascii="Aptos" w:hAnsi="Aptos"/>
          <w:color w:val="162536"/>
          <w:sz w:val="19"/>
        </w:rPr>
        <w:t>Ausgangspassage bibliografisch und seitengenau fixieren</w:t>
      </w:r>
    </w:p>
    <w:p>
      <w:pPr>
        <w:spacing w:after="60"/>
        <w:ind w:left="312" w:hanging="312"/>
        <w:jc w:val="both"/>
      </w:pPr>
      <w:r>
        <w:rPr>
          <w:rFonts w:ascii="Aptos" w:hAnsi="Aptos"/>
          <w:b/>
          <w:color w:val="162536"/>
          <w:sz w:val="19"/>
        </w:rPr>
        <w:t xml:space="preserve">2.  </w:t>
      </w:r>
      <w:r>
        <w:rPr>
          <w:rFonts w:ascii="Aptos" w:hAnsi="Aptos"/>
          <w:color w:val="162536"/>
          <w:sz w:val="19"/>
        </w:rPr>
        <w:t>Rechte vor dem Vergleich prüfen</w:t>
      </w:r>
    </w:p>
    <w:p>
      <w:pPr>
        <w:spacing w:after="60"/>
        <w:ind w:left="312" w:hanging="312"/>
        <w:jc w:val="both"/>
      </w:pPr>
      <w:r>
        <w:rPr>
          <w:rFonts w:ascii="Aptos" w:hAnsi="Aptos"/>
          <w:b/>
          <w:color w:val="162536"/>
          <w:sz w:val="19"/>
        </w:rPr>
        <w:t xml:space="preserve">3.  </w:t>
      </w:r>
      <w:r>
        <w:rPr>
          <w:rFonts w:ascii="Aptos" w:hAnsi="Aptos"/>
          <w:color w:val="162536"/>
          <w:sz w:val="19"/>
        </w:rPr>
        <w:t>ein Kriterium mit Relata, Granularität und Invariante festlegen</w:t>
      </w:r>
    </w:p>
    <w:p>
      <w:pPr>
        <w:spacing w:after="60"/>
        <w:ind w:left="312" w:hanging="312"/>
        <w:jc w:val="both"/>
      </w:pPr>
      <w:r>
        <w:rPr>
          <w:rFonts w:ascii="Aptos" w:hAnsi="Aptos"/>
          <w:b/>
          <w:color w:val="162536"/>
          <w:sz w:val="19"/>
        </w:rPr>
        <w:t xml:space="preserve">4.  </w:t>
      </w:r>
      <w:r>
        <w:rPr>
          <w:rFonts w:ascii="Aptos" w:hAnsi="Aptos"/>
          <w:color w:val="162536"/>
          <w:sz w:val="19"/>
        </w:rPr>
        <w:t>zwei publizierte Zieltexte direkt zurücklesen</w:t>
      </w:r>
    </w:p>
    <w:p>
      <w:pPr>
        <w:spacing w:after="60"/>
        <w:ind w:left="312" w:hanging="312"/>
        <w:jc w:val="both"/>
      </w:pPr>
      <w:r>
        <w:rPr>
          <w:rFonts w:ascii="Aptos" w:hAnsi="Aptos"/>
          <w:b/>
          <w:color w:val="162536"/>
          <w:sz w:val="19"/>
        </w:rPr>
        <w:t xml:space="preserve">5.  </w:t>
      </w:r>
      <w:r>
        <w:rPr>
          <w:rFonts w:ascii="Aptos" w:hAnsi="Aptos"/>
          <w:color w:val="162536"/>
          <w:sz w:val="19"/>
        </w:rPr>
        <w:t>lokalen Befund von Gesamtübersetzungsqualität trennen</w:t>
      </w:r>
    </w:p>
    <w:p>
      <w:pPr>
        <w:pStyle w:val="Heading1"/>
      </w:pPr>
      <w:r>
        <w:t>12 Genehmigte Metrikrevision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005"/>
            <w:shd w:fill="0B1D33"/>
            <w:tcMar>
              <w:top w:w="80" w:type="dxa"/>
              <w:start w:w="90" w:type="dxa"/>
              <w:bottom w:w="80" w:type="dxa"/>
              <w:end w:w="90" w:type="dxa"/>
            </w:tcMar>
            <w:vAlign w:val="center"/>
          </w:tcPr>
          <w:p>
            <w:r>
              <w:rPr>
                <w:rFonts w:ascii="Aptos" w:hAnsi="Aptos"/>
                <w:b/>
                <w:color w:val="FDFBF6"/>
                <w:sz w:val="16"/>
              </w:rPr>
              <w:t>Einheit</w:t>
            </w:r>
          </w:p>
        </w:tc>
        <w:tc>
          <w:tcPr>
            <w:tcW w:type="dxa" w:w="2438"/>
            <w:shd w:fill="0B1D33"/>
            <w:tcMar>
              <w:top w:w="80" w:type="dxa"/>
              <w:start w:w="90" w:type="dxa"/>
              <w:bottom w:w="80" w:type="dxa"/>
              <w:end w:w="90" w:type="dxa"/>
            </w:tcMar>
            <w:vAlign w:val="center"/>
          </w:tcPr>
          <w:p>
            <w:r>
              <w:rPr>
                <w:rFonts w:ascii="Aptos" w:hAnsi="Aptos"/>
                <w:b/>
                <w:color w:val="FDFBF6"/>
                <w:sz w:val="16"/>
              </w:rPr>
              <w:t>Genehmigter Denominator</w:t>
            </w:r>
          </w:p>
        </w:tc>
        <w:tc>
          <w:tcPr>
            <w:tcW w:type="dxa" w:w="3402"/>
            <w:shd w:fill="0B1D33"/>
            <w:tcMar>
              <w:top w:w="80" w:type="dxa"/>
              <w:start w:w="90" w:type="dxa"/>
              <w:bottom w:w="80" w:type="dxa"/>
              <w:end w:w="90" w:type="dxa"/>
            </w:tcMar>
            <w:vAlign w:val="center"/>
          </w:tcPr>
          <w:p>
            <w:r>
              <w:rPr>
                <w:rFonts w:ascii="Aptos" w:hAnsi="Aptos"/>
                <w:b/>
                <w:color w:val="FDFBF6"/>
                <w:sz w:val="16"/>
              </w:rPr>
              <w:t>Nicht gezählt</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6"/>
              </w:rPr>
              <w:t>Same-Passage-Gruppen</w:t>
            </w:r>
          </w:p>
        </w:tc>
        <w:tc>
          <w:tcPr>
            <w:tcW w:type="dxa" w:w="2438"/>
            <w:shd w:fill="F1EDE3"/>
            <w:tcMar>
              <w:top w:w="80" w:type="dxa"/>
              <w:start w:w="90" w:type="dxa"/>
              <w:bottom w:w="80" w:type="dxa"/>
              <w:end w:w="90" w:type="dxa"/>
            </w:tcMar>
            <w:vAlign w:val="center"/>
          </w:tcPr>
          <w:p>
            <w:pPr>
              <w:jc w:val="left"/>
            </w:pPr>
            <w:r>
              <w:rPr>
                <w:rFonts w:ascii="Aptos" w:hAnsi="Aptos"/>
                <w:b w:val="0"/>
                <w:color w:val="162536"/>
                <w:sz w:val="16"/>
              </w:rPr>
              <w:t>12</w:t>
            </w:r>
          </w:p>
        </w:tc>
        <w:tc>
          <w:tcPr>
            <w:tcW w:type="dxa" w:w="3402"/>
            <w:shd w:fill="F1EDE3"/>
            <w:tcMar>
              <w:top w:w="80" w:type="dxa"/>
              <w:start w:w="90" w:type="dxa"/>
              <w:bottom w:w="80" w:type="dxa"/>
              <w:end w:w="90" w:type="dxa"/>
            </w:tcMar>
            <w:vAlign w:val="center"/>
          </w:tcPr>
          <w:p>
            <w:pPr>
              <w:jc w:val="left"/>
            </w:pPr>
            <w:r>
              <w:rPr>
                <w:rFonts w:ascii="Aptos" w:hAnsi="Aptos"/>
                <w:b w:val="0"/>
                <w:color w:val="162536"/>
                <w:sz w:val="16"/>
              </w:rPr>
              <w:t>nicht ausgeführte Varianten</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6"/>
              </w:rPr>
              <w:t>synoptische Ausgangs-/Zielpaare</w:t>
            </w:r>
          </w:p>
        </w:tc>
        <w:tc>
          <w:tcPr>
            <w:tcW w:type="dxa" w:w="2438"/>
            <w:shd w:fill="FAF8F3"/>
            <w:tcMar>
              <w:top w:w="80" w:type="dxa"/>
              <w:start w:w="90" w:type="dxa"/>
              <w:bottom w:w="80" w:type="dxa"/>
              <w:end w:w="90" w:type="dxa"/>
            </w:tcMar>
            <w:vAlign w:val="center"/>
          </w:tcPr>
          <w:p>
            <w:pPr>
              <w:jc w:val="left"/>
            </w:pPr>
            <w:r>
              <w:rPr>
                <w:rFonts w:ascii="Aptos" w:hAnsi="Aptos"/>
                <w:b w:val="0"/>
                <w:color w:val="162536"/>
                <w:sz w:val="16"/>
              </w:rPr>
              <w:t>24</w:t>
            </w:r>
          </w:p>
        </w:tc>
        <w:tc>
          <w:tcPr>
            <w:tcW w:type="dxa" w:w="3402"/>
            <w:shd w:fill="FAF8F3"/>
            <w:tcMar>
              <w:top w:w="80" w:type="dxa"/>
              <w:start w:w="90" w:type="dxa"/>
              <w:bottom w:w="80" w:type="dxa"/>
              <w:end w:w="90" w:type="dxa"/>
            </w:tcMar>
            <w:vAlign w:val="center"/>
          </w:tcPr>
          <w:p>
            <w:pPr>
              <w:jc w:val="left"/>
            </w:pPr>
            <w:r>
              <w:rPr>
                <w:rFonts w:ascii="Aptos" w:hAnsi="Aptos"/>
                <w:b w:val="0"/>
                <w:color w:val="162536"/>
                <w:sz w:val="16"/>
              </w:rPr>
              <w:t>analytische Gegenrichtungen</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6"/>
              </w:rPr>
              <w:t>verifizierte publizierte Wege</w:t>
            </w:r>
          </w:p>
        </w:tc>
        <w:tc>
          <w:tcPr>
            <w:tcW w:type="dxa" w:w="2438"/>
            <w:shd w:fill="F1EDE3"/>
            <w:tcMar>
              <w:top w:w="80" w:type="dxa"/>
              <w:start w:w="90" w:type="dxa"/>
              <w:bottom w:w="80" w:type="dxa"/>
              <w:end w:w="90" w:type="dxa"/>
            </w:tcMar>
            <w:vAlign w:val="center"/>
          </w:tcPr>
          <w:p>
            <w:pPr>
              <w:jc w:val="left"/>
            </w:pPr>
            <w:r>
              <w:rPr>
                <w:rFonts w:ascii="Aptos" w:hAnsi="Aptos"/>
                <w:b w:val="0"/>
                <w:color w:val="162536"/>
                <w:sz w:val="16"/>
              </w:rPr>
              <w:t>24</w:t>
            </w:r>
          </w:p>
        </w:tc>
        <w:tc>
          <w:tcPr>
            <w:tcW w:type="dxa" w:w="3402"/>
            <w:shd w:fill="F1EDE3"/>
            <w:tcMar>
              <w:top w:w="80" w:type="dxa"/>
              <w:start w:w="90" w:type="dxa"/>
              <w:bottom w:w="80" w:type="dxa"/>
              <w:end w:w="90" w:type="dxa"/>
            </w:tcMar>
            <w:vAlign w:val="center"/>
          </w:tcPr>
          <w:p>
            <w:pPr>
              <w:jc w:val="left"/>
            </w:pPr>
            <w:r>
              <w:rPr>
                <w:rFonts w:ascii="Aptos" w:hAnsi="Aptos"/>
                <w:b w:val="0"/>
                <w:color w:val="162536"/>
                <w:sz w:val="16"/>
              </w:rPr>
              <w:t>C3-TRN-0002 als ersetzter Teilpfad</w:t>
            </w:r>
          </w:p>
        </w:tc>
      </w:tr>
    </w:tbl>
    <w:p>
      <w:pPr>
        <w:spacing w:after="0"/>
      </w:pPr>
    </w:p>
    <w:p>
      <w:pPr>
        <w:jc w:val="both"/>
      </w:pPr>
      <w:r>
        <w:rPr>
          <w:rFonts w:ascii="Aptos" w:hAnsi="Aptos"/>
          <w:i w:val="0"/>
          <w:color w:val="162536"/>
          <w:sz w:val="20"/>
        </w:rPr>
        <w:t>Die frühere Zielzahl von 48 gerichteten Wegen wurde ausdrücklich ersetzt. Der Bericht behauptet daher 24 direkt verifizierte publizierte Übersetzungswege. Die 48 Voten aus zwei Blindläufen sind Codierentscheidungen über dieselben 24 Wege, keine zusätzlichen Übersetzungen.</w:t>
      </w:r>
    </w:p>
    <w:p>
      <w:pPr>
        <w:pStyle w:val="Heading1"/>
      </w:pPr>
      <w:r>
        <w:t>13 Gate C4 Codebuch</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6"/>
              </w:rPr>
              <w:t>Grad</w:t>
            </w:r>
          </w:p>
        </w:tc>
        <w:tc>
          <w:tcPr>
            <w:tcW w:type="dxa" w:w="7710"/>
            <w:shd w:fill="0B1D33"/>
            <w:tcMar>
              <w:top w:w="80" w:type="dxa"/>
              <w:start w:w="90" w:type="dxa"/>
              <w:bottom w:w="80" w:type="dxa"/>
              <w:end w:w="90" w:type="dxa"/>
            </w:tcMar>
            <w:vAlign w:val="center"/>
          </w:tcPr>
          <w:p>
            <w:r>
              <w:rPr>
                <w:rFonts w:ascii="Aptos" w:hAnsi="Aptos"/>
                <w:b/>
                <w:color w:val="FDFBF6"/>
                <w:sz w:val="16"/>
              </w:rPr>
              <w:t>Arbeitsdefinition</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A</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weitgehende Austauschbarkeit im klar begrenzten Fachkontext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B</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konventionelles epochen-, textsorten- oder argumentspezifisches Kontextäquivalent</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relevante Bedeutungsüberlappung bei verschiedenen Rändern oder Oppositionen</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D</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Funktions- oder Resonanznähe ohne hinreichende semantische Deckung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E</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keine direkte Entsprechung; nur Umschreibung, Bündel oder kommentierte Übernahme</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X</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Evidenz oder Review erlaubt keine belastbare Entscheidung</w:t>
            </w:r>
          </w:p>
        </w:tc>
      </w:tr>
    </w:tbl>
    <w:p>
      <w:pPr>
        <w:spacing w:after="0"/>
      </w:pPr>
    </w:p>
    <w:p>
      <w:pPr>
        <w:pStyle w:val="Heading1"/>
      </w:pPr>
      <w:r>
        <w:t>14 Differenzmechanismen U1 bis U7</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7"/>
              </w:rPr>
              <w:t>Code</w:t>
            </w:r>
          </w:p>
        </w:tc>
        <w:tc>
          <w:tcPr>
            <w:tcW w:type="dxa" w:w="7710"/>
            <w:shd w:fill="0B1D33"/>
            <w:tcMar>
              <w:top w:w="80" w:type="dxa"/>
              <w:start w:w="90" w:type="dxa"/>
              <w:bottom w:w="80" w:type="dxa"/>
              <w:end w:w="90" w:type="dxa"/>
            </w:tcMar>
            <w:vAlign w:val="center"/>
          </w:tcPr>
          <w:p>
            <w:r>
              <w:rPr>
                <w:rFonts w:ascii="Aptos" w:hAnsi="Aptos"/>
                <w:b/>
                <w:color w:val="FDFBF6"/>
                <w:sz w:val="17"/>
              </w:rPr>
              <w:t>Bedeutung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U1</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lexikalische Lücke</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U2</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abweichende Polysemieverteilung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U3</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Wortbildungs- oder Etymologieeffekt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U4</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historische Sedimentierung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U5</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pragmatisch-institutionelle Einbettung</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U6</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innerfachliche oder diachrone Verschiebung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U7</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Übersetzungskette, Lehnprägung oder Rückübersetzung</w:t>
            </w:r>
          </w:p>
        </w:tc>
      </w:tr>
    </w:tbl>
    <w:p>
      <w:pPr>
        <w:spacing w:after="0"/>
      </w:pPr>
    </w:p>
    <w:p>
      <w:pPr>
        <w:spacing w:before="80" w:after="120"/>
      </w:pPr>
      <w:r>
        <w:rPr>
          <w:rFonts w:ascii="Aptos" w:hAnsi="Aptos"/>
          <w:b/>
          <w:color w:val="C79A3B"/>
          <w:sz w:val="17"/>
        </w:rPr>
        <w:t xml:space="preserve">ZÄHLGRENZE  </w:t>
      </w:r>
      <w:r>
        <w:rPr>
          <w:rFonts w:ascii="Aptos" w:hAnsi="Aptos"/>
          <w:color w:val="162536"/>
          <w:sz w:val="20"/>
        </w:rPr>
        <w:t>Mechanismenzahlen überlappen. Sie sind keine Effektstärken und werden nicht zu einer Gesamtursache addiert.</w:t>
      </w:r>
    </w:p>
    <w:p>
      <w:pPr>
        <w:pStyle w:val="Heading1"/>
      </w:pPr>
      <w:r>
        <w:t>15 Zwei Blindläufe</w:t>
      </w:r>
    </w:p>
    <w:p>
      <w:pPr>
        <w:jc w:val="both"/>
      </w:pPr>
      <w:r>
        <w:rPr>
          <w:rFonts w:ascii="Aptos" w:hAnsi="Aptos"/>
          <w:i w:val="0"/>
          <w:color w:val="162536"/>
          <w:sz w:val="20"/>
        </w:rPr>
        <w:t>C4-BLIND-v1 führte zwei zeitlich getrennte Modellcodierungen auf inhaltsgleichen, unterschiedlich angeordneten Evidenzkarten durch. Lauf B erhielt keinen Zugriff auf die Ergebnisse von Lauf A. Beide Ausgaben wurden versiegelt; die realen Übersetzungsweg-IDs wurden erst für die Adjudikation wieder geöffnet.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4082"/>
            <w:shd w:fill="0B1D33"/>
            <w:tcMar>
              <w:top w:w="80" w:type="dxa"/>
              <w:start w:w="90" w:type="dxa"/>
              <w:bottom w:w="80" w:type="dxa"/>
              <w:end w:w="90" w:type="dxa"/>
            </w:tcMar>
            <w:vAlign w:val="center"/>
          </w:tcPr>
          <w:p>
            <w:r>
              <w:rPr>
                <w:rFonts w:ascii="Aptos" w:hAnsi="Aptos"/>
                <w:b/>
                <w:color w:val="FDFBF6"/>
                <w:sz w:val="17"/>
              </w:rPr>
              <w:t>Prüfung</w:t>
            </w:r>
          </w:p>
        </w:tc>
        <w:tc>
          <w:tcPr>
            <w:tcW w:type="dxa" w:w="2381"/>
            <w:shd w:fill="0B1D33"/>
            <w:tcMar>
              <w:top w:w="80" w:type="dxa"/>
              <w:start w:w="90" w:type="dxa"/>
              <w:bottom w:w="80" w:type="dxa"/>
              <w:end w:w="90" w:type="dxa"/>
            </w:tcMar>
            <w:vAlign w:val="center"/>
          </w:tcPr>
          <w:p>
            <w:r>
              <w:rPr>
                <w:rFonts w:ascii="Aptos" w:hAnsi="Aptos"/>
                <w:b/>
                <w:color w:val="FDFBF6"/>
                <w:sz w:val="17"/>
              </w:rPr>
              <w:t>A</w:t>
            </w:r>
          </w:p>
        </w:tc>
        <w:tc>
          <w:tcPr>
            <w:tcW w:type="dxa" w:w="2381"/>
            <w:shd w:fill="0B1D33"/>
            <w:tcMar>
              <w:top w:w="80" w:type="dxa"/>
              <w:start w:w="90" w:type="dxa"/>
              <w:bottom w:w="80" w:type="dxa"/>
              <w:end w:w="90" w:type="dxa"/>
            </w:tcMar>
            <w:vAlign w:val="center"/>
          </w:tcPr>
          <w:p>
            <w:r>
              <w:rPr>
                <w:rFonts w:ascii="Aptos" w:hAnsi="Aptos"/>
                <w:b/>
                <w:color w:val="FDFBF6"/>
                <w:sz w:val="17"/>
              </w:rPr>
              <w:t>B</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7"/>
              </w:rPr>
              <w:t>Objekte</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7"/>
              </w:rPr>
              <w:t>gültiger Grad je Objekt</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7"/>
              </w:rPr>
              <w:t>mindestens ein Mechanismus</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7"/>
              </w:rPr>
              <w:t>menschliche Unabhängigkeit</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nein</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nein</w:t>
            </w:r>
          </w:p>
        </w:tc>
      </w:tr>
    </w:tbl>
    <w:p>
      <w:pPr>
        <w:spacing w:after="0"/>
      </w:pPr>
    </w:p>
    <w:p>
      <w:pPr>
        <w:spacing w:before="80" w:after="120"/>
      </w:pPr>
      <w:r>
        <w:rPr>
          <w:rFonts w:ascii="Aptos" w:hAnsi="Aptos"/>
          <w:b/>
          <w:color w:val="C79A3B"/>
          <w:sz w:val="17"/>
        </w:rPr>
        <w:t xml:space="preserve">METHODENGRENZE  </w:t>
      </w:r>
      <w:r>
        <w:rPr>
          <w:rFonts w:ascii="Aptos" w:hAnsi="Aptos"/>
          <w:color w:val="162536"/>
          <w:sz w:val="20"/>
        </w:rPr>
        <w:t>Zeitliche Trennung und Blind-ID-Versiegelung schaffen prozedurale Unabhängigkeit, keine persönliche oder menschliche Doppelcodierung.</w:t>
      </w:r>
    </w:p>
    <w:p>
      <w:pPr>
        <w:pStyle w:val="Heading1"/>
      </w:pPr>
      <w:r>
        <w:t>16 Adjudikation</w:t>
      </w:r>
    </w:p>
    <w:p>
      <w:pPr>
        <w:jc w:val="both"/>
      </w:pPr>
      <w:r>
        <w:rPr>
          <w:rFonts w:ascii="Aptos" w:hAnsi="Aptos"/>
          <w:i w:val="0"/>
          <w:color w:val="162536"/>
          <w:sz w:val="20"/>
        </w:rPr>
        <w:t>Die Adjudikation verglich beide Voten pro realem Übersetzungsweg. Übereinstimmung wurde nur übernommen, wenn beide Begründungen den Mikrotext, die Kontextgrenze und die verbleibenden Differenzen trugen. Bei Dissens gab es keine Mittelung; der Endgrad wurde aus der eingefrorenen C3-Evidenz begründet, andernfalls X.</w:t>
      </w:r>
    </w:p>
    <w:p>
      <w:pPr>
        <w:spacing w:after="60"/>
        <w:ind w:left="312" w:hanging="312"/>
        <w:jc w:val="both"/>
      </w:pPr>
      <w:r>
        <w:rPr>
          <w:rFonts w:ascii="Aptos" w:hAnsi="Aptos"/>
          <w:b w:val="0"/>
          <w:color w:val="162536"/>
          <w:sz w:val="19"/>
        </w:rPr>
        <w:t xml:space="preserve">•  </w:t>
      </w:r>
      <w:r>
        <w:rPr>
          <w:rFonts w:ascii="Aptos" w:hAnsi="Aptos"/>
          <w:color w:val="162536"/>
          <w:sz w:val="19"/>
        </w:rPr>
        <w:t>Originalvoten und Dissense vollständig erhalten</w:t>
      </w:r>
    </w:p>
    <w:p>
      <w:pPr>
        <w:spacing w:after="60"/>
        <w:ind w:left="312" w:hanging="312"/>
        <w:jc w:val="both"/>
      </w:pPr>
      <w:r>
        <w:rPr>
          <w:rFonts w:ascii="Aptos" w:hAnsi="Aptos"/>
          <w:b w:val="0"/>
          <w:color w:val="162536"/>
          <w:sz w:val="19"/>
        </w:rPr>
        <w:t xml:space="preserve">•  </w:t>
      </w:r>
      <w:r>
        <w:rPr>
          <w:rFonts w:ascii="Aptos" w:hAnsi="Aptos"/>
          <w:color w:val="162536"/>
          <w:sz w:val="19"/>
        </w:rPr>
        <w:t>Mechanismen einzeln statt automatisch vereinigt geprüft</w:t>
      </w:r>
    </w:p>
    <w:p>
      <w:pPr>
        <w:spacing w:after="60"/>
        <w:ind w:left="312" w:hanging="312"/>
        <w:jc w:val="both"/>
      </w:pPr>
      <w:r>
        <w:rPr>
          <w:rFonts w:ascii="Aptos" w:hAnsi="Aptos"/>
          <w:b w:val="0"/>
          <w:color w:val="162536"/>
          <w:sz w:val="19"/>
        </w:rPr>
        <w:t xml:space="preserve">•  </w:t>
      </w:r>
      <w:r>
        <w:rPr>
          <w:rFonts w:ascii="Aptos" w:hAnsi="Aptos"/>
          <w:color w:val="162536"/>
          <w:sz w:val="19"/>
        </w:rPr>
        <w:t>Rechtevorbehalte von semantischen Codes unberührt</w:t>
      </w:r>
    </w:p>
    <w:p>
      <w:pPr>
        <w:spacing w:after="60"/>
        <w:ind w:left="312" w:hanging="312"/>
        <w:jc w:val="both"/>
      </w:pPr>
      <w:r>
        <w:rPr>
          <w:rFonts w:ascii="Aptos" w:hAnsi="Aptos"/>
          <w:b w:val="0"/>
          <w:color w:val="162536"/>
          <w:sz w:val="19"/>
        </w:rPr>
        <w:t xml:space="preserve">•  </w:t>
      </w:r>
      <w:r>
        <w:rPr>
          <w:rFonts w:ascii="Aptos" w:hAnsi="Aptos"/>
          <w:color w:val="162536"/>
          <w:sz w:val="19"/>
        </w:rPr>
        <w:t>CP-011 bei unzureichender Sprach- und Reviewevidenz zwingend X</w:t>
      </w:r>
    </w:p>
    <w:p>
      <w:pPr>
        <w:pStyle w:val="Heading1"/>
      </w:pPr>
      <w:r>
        <w:t>17 C4 Gesamtergebnis</w:t>
      </w:r>
    </w:p>
    <w:p>
      <w:pPr>
        <w:spacing w:before="80" w:after="40"/>
        <w:jc w:val="center"/>
      </w:pPr>
      <w:r>
        <w:drawing>
          <wp:inline xmlns:a="http://schemas.openxmlformats.org/drawingml/2006/main" xmlns:pic="http://schemas.openxmlformats.org/drawingml/2006/picture">
            <wp:extent cx="5544000" cy="2956800"/>
            <wp:docPr id="5" name="Picture 5" title="Ringdiagramm der C4-Endgrade" descr="Ringdiagramm der C4-Endgrade"/>
            <wp:cNvGraphicFramePr>
              <a:graphicFrameLocks noChangeAspect="1"/>
            </wp:cNvGraphicFramePr>
            <a:graphic>
              <a:graphicData uri="http://schemas.openxmlformats.org/drawingml/2006/picture">
                <pic:pic>
                  <pic:nvPicPr>
                    <pic:cNvPr id="0" name="cassin-codes-de.png"/>
                    <pic:cNvPicPr/>
                  </pic:nvPicPr>
                  <pic:blipFill>
                    <a:blip r:embed="rId23"/>
                    <a:stretch>
                      <a:fillRect/>
                    </a:stretch>
                  </pic:blipFill>
                  <pic:spPr>
                    <a:xfrm>
                      <a:off x="0" y="0"/>
                      <a:ext cx="5544000" cy="2956800"/>
                    </a:xfrm>
                    <a:prstGeom prst="rect"/>
                  </pic:spPr>
                </pic:pic>
              </a:graphicData>
            </a:graphic>
          </wp:inline>
        </w:drawing>
      </w:r>
    </w:p>
    <w:p>
      <w:pPr>
        <w:spacing w:after="80"/>
        <w:jc w:val="center"/>
      </w:pPr>
      <w:r>
        <w:rPr>
          <w:rFonts w:ascii="Aptos" w:hAnsi="Aptos"/>
          <w:color w:val="5D6B75"/>
          <w:sz w:val="15"/>
        </w:rPr>
        <w:t>Abb. 4 · Endgrade aller 24 qualifizierenden Übersetzungswege.</w:t>
      </w:r>
    </w:p>
    <w:p>
      <w:pPr>
        <w:jc w:val="both"/>
      </w:pPr>
      <w:r>
        <w:rPr>
          <w:rFonts w:ascii="Aptos" w:hAnsi="Aptos"/>
          <w:i w:val="0"/>
          <w:color w:val="162536"/>
          <w:sz w:val="20"/>
        </w:rPr>
        <w:t>A blieb auf vier mikrotextgebundene Relationen beschränkt. Der Schwerpunkt liegt bei B. Die beiden X-Fälle gehören beide zu CP-011 und markieren bewusst nicht geschlossene Evidenz, nicht semantische Leere.</w:t>
      </w:r>
    </w:p>
    <w:p>
      <w:pPr>
        <w:pStyle w:val="Heading1"/>
      </w:pPr>
      <w:r>
        <w:t>18 Gate C5 adversariale Gegenprüfung</w:t>
      </w:r>
    </w:p>
    <w:p>
      <w:pPr>
        <w:jc w:val="both"/>
      </w:pPr>
      <w:r>
        <w:rPr>
          <w:rFonts w:ascii="Aptos" w:hAnsi="Aptos"/>
          <w:i w:val="0"/>
          <w:color w:val="162536"/>
          <w:sz w:val="20"/>
        </w:rPr>
        <w:t>Sechs ausdrücklich nichtmenschliche Rollen prüften alle zwölf Fälle und 24 Endcodes gegen stärkere Äquivalente, Gegenbeispiele, Epochenwechsel, innerfachliche Verschiebungen, eurozentrische Verkürzungen sowie Rechte- und Editionsfehler. Kein C4-Code musste geändert werden.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969"/>
            <w:shd w:fill="0B1D33"/>
            <w:tcMar>
              <w:top w:w="80" w:type="dxa"/>
              <w:start w:w="90" w:type="dxa"/>
              <w:bottom w:w="80" w:type="dxa"/>
              <w:end w:w="90" w:type="dxa"/>
            </w:tcMar>
            <w:vAlign w:val="center"/>
          </w:tcPr>
          <w:p>
            <w:r>
              <w:rPr>
                <w:rFonts w:ascii="Aptos" w:hAnsi="Aptos"/>
                <w:b/>
                <w:color w:val="FDFBF6"/>
                <w:sz w:val="16"/>
              </w:rPr>
              <w:t>Rolle</w:t>
            </w:r>
          </w:p>
        </w:tc>
        <w:tc>
          <w:tcPr>
            <w:tcW w:type="dxa" w:w="4876"/>
            <w:shd w:fill="0B1D33"/>
            <w:tcMar>
              <w:top w:w="80" w:type="dxa"/>
              <w:start w:w="90" w:type="dxa"/>
              <w:bottom w:w="80" w:type="dxa"/>
              <w:end w:w="90" w:type="dxa"/>
            </w:tcMar>
            <w:vAlign w:val="center"/>
          </w:tcPr>
          <w:p>
            <w:r>
              <w:rPr>
                <w:rFonts w:ascii="Aptos" w:hAnsi="Aptos"/>
                <w:b/>
                <w:color w:val="FDFBF6"/>
                <w:sz w:val="16"/>
              </w:rPr>
              <w:t>Prüfschwerpunkt</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historische deutsche Philologie</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Form- und Begriffsgeschichte</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französische und englische Lexikografie</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Datierung und Bedeutungsfeld</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Übersetzungswissenschaft</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Einheit, Kriterium und Funktion</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adversariales Methodenreview</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Falsifikation und Gegenbeleg</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Rechte und Edition</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Zugang, Seite und Nachnutzung</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Sprach- und Kulturkritik</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begrenzte Ersatzprüfung für CP-011/012</w:t>
            </w:r>
          </w:p>
        </w:tc>
      </w:tr>
    </w:tbl>
    <w:p>
      <w:pPr>
        <w:spacing w:after="0"/>
      </w:pPr>
    </w:p>
    <w:p>
      <w:pPr>
        <w:pStyle w:val="Heading1"/>
      </w:pPr>
      <w:r>
        <w:t>19 Gate C6 Forschungssynthese</w:t>
      </w:r>
    </w:p>
    <w:p>
      <w:pPr>
        <w:jc w:val="both"/>
      </w:pPr>
      <w:r>
        <w:rPr>
          <w:rFonts w:ascii="Aptos" w:hAnsi="Aptos"/>
          <w:i w:val="0"/>
          <w:color w:val="162536"/>
          <w:sz w:val="20"/>
        </w:rPr>
        <w:t>C6 verbindet die Dossiers, ohne ihre Unterschiede einzuebnen. Polysemieverteilung ist der häufigste Mechanismus, aber institutionelle Einbettung, historische Sedimentierung, Fachgeschichte, Wortbildung und Übersetzungsketten erklären jeweils eigene Teilmengen. Keine Mechanismenklasse trägt alle Fälle.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4082"/>
            <w:shd w:fill="0B1D33"/>
            <w:tcMar>
              <w:top w:w="80" w:type="dxa"/>
              <w:start w:w="90" w:type="dxa"/>
              <w:bottom w:w="80" w:type="dxa"/>
              <w:end w:w="90" w:type="dxa"/>
            </w:tcMar>
            <w:vAlign w:val="center"/>
          </w:tcPr>
          <w:p>
            <w:r>
              <w:rPr>
                <w:rFonts w:ascii="Aptos" w:hAnsi="Aptos"/>
                <w:b/>
                <w:color w:val="FDFBF6"/>
                <w:sz w:val="16"/>
              </w:rPr>
              <w:t>Vergleich</w:t>
            </w:r>
          </w:p>
        </w:tc>
        <w:tc>
          <w:tcPr>
            <w:tcW w:type="dxa" w:w="4762"/>
            <w:shd w:fill="0B1D33"/>
            <w:tcMar>
              <w:top w:w="80" w:type="dxa"/>
              <w:start w:w="90" w:type="dxa"/>
              <w:bottom w:w="80" w:type="dxa"/>
              <w:end w:w="90" w:type="dxa"/>
            </w:tcMar>
            <w:vAlign w:val="center"/>
          </w:tcPr>
          <w:p>
            <w:r>
              <w:rPr>
                <w:rFonts w:ascii="Aptos" w:hAnsi="Aptos"/>
                <w:b/>
                <w:color w:val="FDFBF6"/>
                <w:sz w:val="16"/>
              </w:rPr>
              <w:t>Ergebnis</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6"/>
              </w:rPr>
              <w:t>Cassin-Struktur gegen unabhängige Evidenz</w:t>
            </w:r>
          </w:p>
        </w:tc>
        <w:tc>
          <w:tcPr>
            <w:tcW w:type="dxa" w:w="4762"/>
            <w:shd w:fill="F1EDE3"/>
            <w:tcMar>
              <w:top w:w="80" w:type="dxa"/>
              <w:start w:w="90" w:type="dxa"/>
              <w:bottom w:w="80" w:type="dxa"/>
              <w:end w:w="90" w:type="dxa"/>
            </w:tcMar>
            <w:vAlign w:val="center"/>
          </w:tcPr>
          <w:p>
            <w:pPr>
              <w:jc w:val="left"/>
            </w:pPr>
            <w:r>
              <w:rPr>
                <w:rFonts w:ascii="Aptos" w:hAnsi="Aptos"/>
                <w:b w:val="0"/>
                <w:color w:val="162536"/>
                <w:sz w:val="16"/>
              </w:rPr>
              <w:t>materielle Divergenz in CP-004, CP-008, CP-011 und CP-012</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6"/>
              </w:rPr>
              <w:t>Paarinterne Variation</w:t>
            </w:r>
          </w:p>
        </w:tc>
        <w:tc>
          <w:tcPr>
            <w:tcW w:type="dxa" w:w="4762"/>
            <w:shd w:fill="FAF8F3"/>
            <w:tcMar>
              <w:top w:w="80" w:type="dxa"/>
              <w:start w:w="90" w:type="dxa"/>
              <w:bottom w:w="80" w:type="dxa"/>
              <w:end w:w="90" w:type="dxa"/>
            </w:tcMar>
            <w:vAlign w:val="center"/>
          </w:tcPr>
          <w:p>
            <w:pPr>
              <w:jc w:val="left"/>
            </w:pPr>
            <w:r>
              <w:rPr>
                <w:rFonts w:ascii="Aptos" w:hAnsi="Aptos"/>
                <w:b w:val="0"/>
                <w:color w:val="162536"/>
                <w:sz w:val="16"/>
              </w:rPr>
              <w:t>9/12</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6"/>
              </w:rPr>
              <w:t>Kontextualisierung oder Revision</w:t>
            </w:r>
          </w:p>
        </w:tc>
        <w:tc>
          <w:tcPr>
            <w:tcW w:type="dxa" w:w="4762"/>
            <w:shd w:fill="F1EDE3"/>
            <w:tcMar>
              <w:top w:w="80" w:type="dxa"/>
              <w:start w:w="90" w:type="dxa"/>
              <w:bottom w:w="80" w:type="dxa"/>
              <w:end w:w="90" w:type="dxa"/>
            </w:tcMar>
            <w:vAlign w:val="center"/>
          </w:tcPr>
          <w:p>
            <w:pPr>
              <w:jc w:val="left"/>
            </w:pPr>
            <w:r>
              <w:rPr>
                <w:rFonts w:ascii="Aptos" w:hAnsi="Aptos"/>
                <w:b w:val="0"/>
                <w:color w:val="162536"/>
                <w:sz w:val="16"/>
              </w:rPr>
              <w:t>7/12 · 58.3%</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6"/>
              </w:rPr>
              <w:t>offener X-Fall</w:t>
            </w:r>
          </w:p>
        </w:tc>
        <w:tc>
          <w:tcPr>
            <w:tcW w:type="dxa" w:w="4762"/>
            <w:shd w:fill="FAF8F3"/>
            <w:tcMar>
              <w:top w:w="80" w:type="dxa"/>
              <w:start w:w="90" w:type="dxa"/>
              <w:bottom w:w="80" w:type="dxa"/>
              <w:end w:w="90" w:type="dxa"/>
            </w:tcMar>
            <w:vAlign w:val="center"/>
          </w:tcPr>
          <w:p>
            <w:pPr>
              <w:jc w:val="left"/>
            </w:pPr>
            <w:r>
              <w:rPr>
                <w:rFonts w:ascii="Aptos" w:hAnsi="Aptos"/>
                <w:b w:val="0"/>
                <w:color w:val="162536"/>
                <w:sz w:val="16"/>
              </w:rPr>
              <w:t>CP-011</w:t>
            </w:r>
          </w:p>
        </w:tc>
      </w:tr>
    </w:tbl>
    <w:p>
      <w:pPr>
        <w:spacing w:after="0"/>
      </w:pPr>
    </w:p>
    <w:p>
      <w:pPr>
        <w:pStyle w:val="Heading1"/>
      </w:pPr>
      <w:r>
        <w:t>20 Hypothesenbewertung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247"/>
            <w:shd w:fill="0B1D33"/>
            <w:tcMar>
              <w:top w:w="80" w:type="dxa"/>
              <w:start w:w="90" w:type="dxa"/>
              <w:bottom w:w="80" w:type="dxa"/>
              <w:end w:w="90" w:type="dxa"/>
            </w:tcMar>
            <w:vAlign w:val="center"/>
          </w:tcPr>
          <w:p>
            <w:r>
              <w:rPr>
                <w:rFonts w:ascii="Aptos" w:hAnsi="Aptos"/>
                <w:b/>
                <w:color w:val="FDFBF6"/>
                <w:sz w:val="15"/>
              </w:rPr>
              <w:t>Hypothese</w:t>
            </w:r>
          </w:p>
        </w:tc>
        <w:tc>
          <w:tcPr>
            <w:tcW w:type="dxa" w:w="1928"/>
            <w:shd w:fill="0B1D33"/>
            <w:tcMar>
              <w:top w:w="80" w:type="dxa"/>
              <w:start w:w="90" w:type="dxa"/>
              <w:bottom w:w="80" w:type="dxa"/>
              <w:end w:w="90" w:type="dxa"/>
            </w:tcMar>
            <w:vAlign w:val="center"/>
          </w:tcPr>
          <w:p>
            <w:r>
              <w:rPr>
                <w:rFonts w:ascii="Aptos" w:hAnsi="Aptos"/>
                <w:b/>
                <w:color w:val="FDFBF6"/>
                <w:sz w:val="15"/>
              </w:rPr>
              <w:t>Urteil</w:t>
            </w:r>
          </w:p>
        </w:tc>
        <w:tc>
          <w:tcPr>
            <w:tcW w:type="dxa" w:w="5669"/>
            <w:shd w:fill="0B1D33"/>
            <w:tcMar>
              <w:top w:w="80" w:type="dxa"/>
              <w:start w:w="90" w:type="dxa"/>
              <w:bottom w:w="80" w:type="dxa"/>
              <w:end w:w="90" w:type="dxa"/>
            </w:tcMar>
            <w:vAlign w:val="center"/>
          </w:tcPr>
          <w:p>
            <w:r>
              <w:rPr>
                <w:rFonts w:ascii="Aptos" w:hAnsi="Aptos"/>
                <w:b/>
                <w:color w:val="FDFBF6"/>
                <w:sz w:val="15"/>
              </w:rPr>
              <w:t>Begründeter Befund</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H1</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Übersetzungsrelationen verzweigen sich kontextuell; nur 4 von 24 Wegen erreichen A.</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H2</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Wortgeschichte und Morphologie erklären nur einen Teil; U2, U5, U6 und U7 tragen zusätzliche Differenzen.</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H3</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strongly 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Same-Passage-Vergleiche zeigen mehr als isolierte Wörterbuchgleichungen; sieben Gruppen unterscheiden sich im Grad.</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H4</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Der deutsche Atlasbegriff ist eine Koordinate unter mehreren und kein übergeordnetes Original.</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H5</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Fehlende Cassin-Abdeckung ist zunächst ein Korpus- und Reichweitenbefund.</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H6</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not tested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Eine reproduzierbare Maschinenübersetzungsserie wurde nicht durchgeführt.</w:t>
            </w:r>
          </w:p>
        </w:tc>
      </w:tr>
    </w:tbl>
    <w:p>
      <w:pPr>
        <w:spacing w:after="0"/>
      </w:pPr>
    </w:p>
    <w:p>
      <w:pPr>
        <w:spacing w:before="80" w:after="120"/>
      </w:pPr>
      <w:r>
        <w:rPr>
          <w:rFonts w:ascii="Aptos" w:hAnsi="Aptos"/>
          <w:b/>
          <w:color w:val="C79A3B"/>
          <w:sz w:val="17"/>
        </w:rPr>
        <w:t xml:space="preserve">H6  </w:t>
      </w:r>
      <w:r>
        <w:rPr>
          <w:rFonts w:ascii="Aptos" w:hAnsi="Aptos"/>
          <w:color w:val="162536"/>
          <w:sz w:val="20"/>
        </w:rPr>
        <w:t>Nicht erhobene Maschinenübersetzungsdaten werden weder als Bestätigung noch als Widerlegung ausgegeben.</w:t>
      </w:r>
    </w:p>
    <w:p>
      <w:pPr>
        <w:pStyle w:val="Heading1"/>
      </w:pPr>
      <w:r>
        <w:t>21 CP-001 Übersetzung Begriffsprofil</w:t>
      </w:r>
    </w:p>
    <w:p>
      <w:pPr>
        <w:spacing w:before="80" w:after="120"/>
      </w:pPr>
      <w:r>
        <w:rPr>
          <w:rFonts w:ascii="Aptos" w:hAnsi="Aptos"/>
          <w:b/>
          <w:color w:val="C79A3B"/>
          <w:sz w:val="17"/>
        </w:rPr>
        <w:t xml:space="preserve">ATLASANKER  </w:t>
      </w:r>
      <w:r>
        <w:rPr>
          <w:rFonts w:ascii="Aptos" w:hAnsi="Aptos"/>
          <w:color w:val="162536"/>
          <w:sz w:val="20"/>
        </w:rPr>
        <w:t>AT-CORE-239-069 · retain_with_research_context</w:t>
      </w:r>
    </w:p>
    <w:p>
      <w:pPr>
        <w:jc w:val="both"/>
      </w:pPr>
      <w:r>
        <w:rPr>
          <w:rFonts w:ascii="Aptos" w:hAnsi="Aptos"/>
          <w:i w:val="0"/>
          <w:color w:val="162536"/>
          <w:sz w:val="20"/>
        </w:rPr>
        <w:t>Der Fall prüft Übersetzung als gerichtete Praxis zwischen Autor, Text und Leser. Die historische Wörterbuchschicht zu übersetzen, übertragen und translatio zeigt ein gemeinsames Transferschema, aber keine lineare Kette gleichbedeutender Wörter.</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Quellenbasis</w:t>
      </w:r>
    </w:p>
    <w:p>
      <w:pPr>
        <w:jc w:val="both"/>
      </w:pPr>
      <w:r>
        <w:rPr>
          <w:rFonts w:ascii="Aptos" w:hAnsi="Aptos"/>
          <w:i w:val="0"/>
          <w:color w:val="162536"/>
          <w:sz w:val="20"/>
        </w:rPr>
        <w:t>Schleiermachers Akademierede von 1813/1816 liefert den Primäranker. Die englische Fassung von Bartscht und Bermans französische Übersetzung der Seuil-Ausgabe 1999 bilden die Vergleichsziele. Die französische Passage ist textdirekt und ausgabentrianguliert, aber nicht am Faksimile geprüft.</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Transfermetapher und konkrete Übersetzungsmethode</w:t>
      </w:r>
    </w:p>
    <w:p>
      <w:pPr>
        <w:spacing w:after="60"/>
        <w:ind w:left="312" w:hanging="312"/>
        <w:jc w:val="both"/>
      </w:pPr>
      <w:r>
        <w:rPr>
          <w:rFonts w:ascii="Aptos" w:hAnsi="Aptos"/>
          <w:b w:val="0"/>
          <w:color w:val="162536"/>
          <w:sz w:val="19"/>
        </w:rPr>
        <w:t xml:space="preserve">•  </w:t>
      </w:r>
      <w:r>
        <w:rPr>
          <w:rFonts w:ascii="Aptos" w:hAnsi="Aptos"/>
          <w:color w:val="162536"/>
          <w:sz w:val="19"/>
        </w:rPr>
        <w:t>Wortgleichung und propositionale Tragfähigkeit</w:t>
      </w:r>
    </w:p>
    <w:p>
      <w:pPr>
        <w:spacing w:after="60"/>
        <w:ind w:left="312" w:hanging="312"/>
        <w:jc w:val="both"/>
      </w:pPr>
      <w:r>
        <w:rPr>
          <w:rFonts w:ascii="Aptos" w:hAnsi="Aptos"/>
          <w:b w:val="0"/>
          <w:color w:val="162536"/>
          <w:sz w:val="19"/>
        </w:rPr>
        <w:t xml:space="preserve">•  </w:t>
      </w:r>
      <w:r>
        <w:rPr>
          <w:rFonts w:ascii="Aptos" w:hAnsi="Aptos"/>
          <w:color w:val="162536"/>
          <w:sz w:val="19"/>
        </w:rPr>
        <w:t>lexikalische Entsprechung und Relationengefüge</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21 CP-001 Übersetzungsvergleich und Gegenmodell</w:t>
      </w:r>
    </w:p>
    <w:p>
      <w:pPr>
        <w:pStyle w:val="Heading2"/>
      </w:pPr>
      <w:r>
        <w:t>Vorfestgelegtes Einzelkriterium</w:t>
      </w:r>
    </w:p>
    <w:p>
      <w:pPr>
        <w:jc w:val="both"/>
      </w:pPr>
      <w:r>
        <w:rPr>
          <w:rFonts w:ascii="Aptos" w:hAnsi="Aptos"/>
          <w:i w:val="0"/>
          <w:color w:val="162536"/>
          <w:sz w:val="20"/>
        </w:rPr>
        <w:t>Erhaltung der Autor-Leser-Bewegung im begrenzten Schleiermacher-Satz.</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C3-TRN-0001</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Bartscht 1992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C3-TRN-0007</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Berman 1999 FR</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Explizites Gegenmodell</w:t>
      </w:r>
    </w:p>
    <w:p>
      <w:pPr>
        <w:jc w:val="both"/>
      </w:pPr>
      <w:r>
        <w:rPr>
          <w:rFonts w:ascii="Aptos" w:hAnsi="Aptos"/>
          <w:i w:val="0"/>
          <w:color w:val="162536"/>
          <w:sz w:val="20"/>
        </w:rPr>
        <w:t>Jakobson bildet das Gegenmodell: Fehlende Volläquivalenz einzelner Codeeinheiten schließt eine angemessene Interpretation von Mitteilungen nicht aus; poetische Form verlangt jedoch kreative Transposition.</w:t>
      </w:r>
    </w:p>
    <w:p>
      <w:pPr>
        <w:pStyle w:val="Heading2"/>
      </w:pPr>
      <w:r>
        <w:t>C6-Befund und Atlasfolge</w:t>
      </w:r>
    </w:p>
    <w:p>
      <w:pPr>
        <w:jc w:val="both"/>
      </w:pPr>
      <w:r>
        <w:rPr>
          <w:rFonts w:ascii="Aptos" w:hAnsi="Aptos"/>
          <w:i w:val="0"/>
          <w:color w:val="162536"/>
          <w:sz w:val="20"/>
        </w:rPr>
        <w:t>Beide Ziele bewahren die Bewegung, verteilen Ruhe, Richtung und Begegnung aber idiomatisch neu. Der Atlasanker bleibt tragfähig, wenn Transfer nur als eine Darstellungsweise neben Interpretation, Rekodierung und Praxis gelesen wird.</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Berman 1999 nicht faksimilegeprüft</w:t>
      </w:r>
    </w:p>
    <w:p>
      <w:pPr>
        <w:spacing w:after="60"/>
        <w:ind w:left="312" w:hanging="312"/>
        <w:jc w:val="both"/>
      </w:pPr>
      <w:r>
        <w:rPr>
          <w:rFonts w:ascii="Aptos" w:hAnsi="Aptos"/>
          <w:b w:val="0"/>
          <w:color w:val="162536"/>
          <w:sz w:val="18"/>
        </w:rPr>
        <w:t xml:space="preserve">•  </w:t>
      </w:r>
      <w:r>
        <w:rPr>
          <w:rFonts w:ascii="Aptos" w:hAnsi="Aptos"/>
          <w:color w:val="162536"/>
          <w:sz w:val="18"/>
        </w:rPr>
        <w:t>moderne Übersetzungen nur als Kurzzitat</w:t>
      </w:r>
    </w:p>
    <w:p>
      <w:pPr>
        <w:spacing w:after="60"/>
        <w:ind w:left="312" w:hanging="312"/>
        <w:jc w:val="both"/>
      </w:pPr>
      <w:r>
        <w:rPr>
          <w:rFonts w:ascii="Aptos" w:hAnsi="Aptos"/>
          <w:b w:val="0"/>
          <w:color w:val="162536"/>
          <w:sz w:val="18"/>
        </w:rPr>
        <w:t xml:space="preserve">•  </w:t>
      </w:r>
      <w:r>
        <w:rPr>
          <w:rFonts w:ascii="Aptos" w:hAnsi="Aptos"/>
          <w:color w:val="162536"/>
          <w:sz w:val="18"/>
        </w:rPr>
        <w:t>kein menschlicher Review</w:t>
      </w:r>
    </w:p>
    <w:p>
      <w:pPr>
        <w:pStyle w:val="Heading1"/>
      </w:pPr>
      <w:r>
        <w:t>22 CP-002 Unübersetzbarkeit Begriffsprofil</w:t>
      </w:r>
    </w:p>
    <w:p>
      <w:pPr>
        <w:spacing w:before="80" w:after="120"/>
      </w:pPr>
      <w:r>
        <w:rPr>
          <w:rFonts w:ascii="Aptos" w:hAnsi="Aptos"/>
          <w:b/>
          <w:color w:val="C79A3B"/>
          <w:sz w:val="17"/>
        </w:rPr>
        <w:t xml:space="preserve">ATLASANKER  </w:t>
      </w:r>
      <w:r>
        <w:rPr>
          <w:rFonts w:ascii="Aptos" w:hAnsi="Aptos"/>
          <w:color w:val="162536"/>
          <w:sz w:val="20"/>
        </w:rPr>
        <w:t>AT-TRA-0001 · retain_as_is</w:t>
      </w:r>
    </w:p>
    <w:p>
      <w:pPr>
        <w:jc w:val="both"/>
      </w:pPr>
      <w:r>
        <w:rPr>
          <w:rFonts w:ascii="Aptos" w:hAnsi="Aptos"/>
          <w:i w:val="0"/>
          <w:color w:val="162536"/>
          <w:sz w:val="20"/>
        </w:rPr>
        <w:t>Unübersetzbarkeit wird als parametrisierte Grenze geprüft: Form, Funktion, historische Schichtung und Textsorte können verschieden stark erhalten werden. Der Fall vermeidet die Gleichsetzung von Nichtgleichheit und absoluter Unmöglichkeit.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Quellenbasis</w:t>
      </w:r>
    </w:p>
    <w:p>
      <w:pPr>
        <w:jc w:val="both"/>
      </w:pPr>
      <w:r>
        <w:rPr>
          <w:rFonts w:ascii="Aptos" w:hAnsi="Aptos"/>
          <w:i w:val="0"/>
          <w:color w:val="162536"/>
          <w:sz w:val="20"/>
        </w:rPr>
        <w:t>Humboldts Brief an Schlegel von 1796, historische deutsche Formen sowie frühe französische und englische Lexikografie bilden S2/S3. In S4 wird Benjamins Satz zur Übersetzbarkeit mit Zohn 1968 und Rendall 1997 verglichen.</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Eigenschaft Übersetzbarkeit und Vorgang Übersetzung</w:t>
      </w:r>
    </w:p>
    <w:p>
      <w:pPr>
        <w:spacing w:after="60"/>
        <w:ind w:left="312" w:hanging="312"/>
        <w:jc w:val="both"/>
      </w:pPr>
      <w:r>
        <w:rPr>
          <w:rFonts w:ascii="Aptos" w:hAnsi="Aptos"/>
          <w:b w:val="0"/>
          <w:color w:val="162536"/>
          <w:sz w:val="19"/>
        </w:rPr>
        <w:t xml:space="preserve">•  </w:t>
      </w:r>
      <w:r>
        <w:rPr>
          <w:rFonts w:ascii="Aptos" w:hAnsi="Aptos"/>
          <w:color w:val="162536"/>
          <w:sz w:val="19"/>
        </w:rPr>
        <w:t>kulturelle Unersetzbarkeit und sprachliche Übersetzbarkeit</w:t>
      </w:r>
    </w:p>
    <w:p>
      <w:pPr>
        <w:spacing w:after="60"/>
        <w:ind w:left="312" w:hanging="312"/>
        <w:jc w:val="both"/>
      </w:pPr>
      <w:r>
        <w:rPr>
          <w:rFonts w:ascii="Aptos" w:hAnsi="Aptos"/>
          <w:b w:val="0"/>
          <w:color w:val="162536"/>
          <w:sz w:val="19"/>
        </w:rPr>
        <w:t xml:space="preserve">•  </w:t>
      </w:r>
      <w:r>
        <w:rPr>
          <w:rFonts w:ascii="Aptos" w:hAnsi="Aptos"/>
          <w:color w:val="162536"/>
          <w:sz w:val="19"/>
        </w:rPr>
        <w:t>historischer Erstbeleg und absolute Ursprungsaussage</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22 CP-002 Übersetzungsvergleich und Gegenmodell</w:t>
      </w:r>
    </w:p>
    <w:p>
      <w:pPr>
        <w:pStyle w:val="Heading2"/>
      </w:pPr>
      <w:r>
        <w:t>Vorfestgelegtes Einzelkriterium</w:t>
      </w:r>
    </w:p>
    <w:p>
      <w:pPr>
        <w:jc w:val="both"/>
      </w:pPr>
      <w:r>
        <w:rPr>
          <w:rFonts w:ascii="Aptos" w:hAnsi="Aptos"/>
          <w:i w:val="0"/>
          <w:color w:val="162536"/>
          <w:sz w:val="20"/>
        </w:rPr>
        <w:t>Explizite Erhaltung von Übersetzbarkeit als Eigenschaft bestimmter Werke.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C3-TRN-0003</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Zohn 1968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U4</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C3-TRN-0004</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Rendall 1997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U3</w:t>
            </w:r>
          </w:p>
        </w:tc>
      </w:tr>
    </w:tbl>
    <w:p>
      <w:pPr>
        <w:spacing w:after="0"/>
      </w:pPr>
    </w:p>
    <w:p>
      <w:pPr>
        <w:pStyle w:val="Heading2"/>
      </w:pPr>
      <w:r>
        <w:t>Explizites Gegenmodell</w:t>
      </w:r>
    </w:p>
    <w:p>
      <w:pPr>
        <w:jc w:val="both"/>
      </w:pPr>
      <w:r>
        <w:rPr>
          <w:rFonts w:ascii="Aptos" w:hAnsi="Aptos"/>
          <w:i w:val="0"/>
          <w:color w:val="162536"/>
          <w:sz w:val="20"/>
        </w:rPr>
        <w:t>Apter erweitert Cassins Programm politisch, ist aber kein unabhängiges Gegenmodell. Des Rochers und Twiss liefern die Gegenposition: Übersetzen ist kontextuelle Interpretation; kulturelle Unersetzbarkeit kann mit Übersetzbarkeit koexistieren.</w:t>
      </w:r>
    </w:p>
    <w:p>
      <w:pPr>
        <w:pStyle w:val="Heading2"/>
      </w:pPr>
      <w:r>
        <w:t>C6-Befund und Atlasfolge</w:t>
      </w:r>
    </w:p>
    <w:p>
      <w:pPr>
        <w:jc w:val="both"/>
      </w:pPr>
      <w:r>
        <w:rPr>
          <w:rFonts w:ascii="Aptos" w:hAnsi="Aptos"/>
          <w:i w:val="0"/>
          <w:color w:val="162536"/>
          <w:sz w:val="20"/>
        </w:rPr>
        <w:t>Zohn erhält die Eigenschaftsebene; Rendall verschiebt sie zum Vorgang. Die Atlasdefinition bleibt tragfähig, weil sie fehlende verlustfreie Form- und Funktionsgleichheit statt absolute Unmöglichkeit bezeichnet.</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keine absolute Erstbelegbehauptung</w:t>
      </w:r>
    </w:p>
    <w:p>
      <w:pPr>
        <w:spacing w:after="60"/>
        <w:ind w:left="312" w:hanging="312"/>
        <w:jc w:val="both"/>
      </w:pPr>
      <w:r>
        <w:rPr>
          <w:rFonts w:ascii="Aptos" w:hAnsi="Aptos"/>
          <w:b w:val="0"/>
          <w:color w:val="162536"/>
          <w:sz w:val="18"/>
        </w:rPr>
        <w:t xml:space="preserve">•  </w:t>
      </w:r>
      <w:r>
        <w:rPr>
          <w:rFonts w:ascii="Aptos" w:hAnsi="Aptos"/>
          <w:color w:val="162536"/>
          <w:sz w:val="18"/>
        </w:rPr>
        <w:t>moderne Übersetzungen nur als Kurzzitat</w:t>
      </w:r>
    </w:p>
    <w:p>
      <w:pPr>
        <w:spacing w:after="60"/>
        <w:ind w:left="312" w:hanging="312"/>
        <w:jc w:val="both"/>
      </w:pPr>
      <w:r>
        <w:rPr>
          <w:rFonts w:ascii="Aptos" w:hAnsi="Aptos"/>
          <w:b w:val="0"/>
          <w:color w:val="162536"/>
          <w:sz w:val="18"/>
        </w:rPr>
        <w:t xml:space="preserve">•  </w:t>
      </w:r>
      <w:r>
        <w:rPr>
          <w:rFonts w:ascii="Aptos" w:hAnsi="Aptos"/>
          <w:color w:val="162536"/>
          <w:sz w:val="18"/>
        </w:rPr>
        <w:t>keine allgemeine Theorie aller Texte</w:t>
      </w:r>
    </w:p>
    <w:p>
      <w:pPr>
        <w:pStyle w:val="Heading1"/>
      </w:pPr>
      <w:r>
        <w:t>23 CP-003 Äquivalenz Begriffsprofil</w:t>
      </w:r>
    </w:p>
    <w:p>
      <w:pPr>
        <w:spacing w:before="80" w:after="120"/>
      </w:pPr>
      <w:r>
        <w:rPr>
          <w:rFonts w:ascii="Aptos" w:hAnsi="Aptos"/>
          <w:b/>
          <w:color w:val="C79A3B"/>
          <w:sz w:val="17"/>
        </w:rPr>
        <w:t xml:space="preserve">ATLASANKER  </w:t>
      </w:r>
      <w:r>
        <w:rPr>
          <w:rFonts w:ascii="Aptos" w:hAnsi="Aptos"/>
          <w:color w:val="162536"/>
          <w:sz w:val="20"/>
        </w:rPr>
        <w:t>AT-W3-0296 · retain_as_is</w:t>
      </w:r>
    </w:p>
    <w:p>
      <w:pPr>
        <w:jc w:val="both"/>
      </w:pPr>
      <w:r>
        <w:rPr>
          <w:rFonts w:ascii="Aptos" w:hAnsi="Aptos"/>
          <w:i w:val="0"/>
          <w:color w:val="162536"/>
          <w:sz w:val="20"/>
        </w:rPr>
        <w:t>Äquivalenz wird nicht als unbestimmte Gleichheit verwendet. Jeder Befund muss Relata, Granularität, Invariante, Kontext und Stärke nennen. Nida und Catford zeigen schon innerhalb der Übersetzungswissenschaft verschiedene Bezugsgrößen.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Quellenbasis</w:t>
      </w:r>
    </w:p>
    <w:p>
      <w:pPr>
        <w:jc w:val="both"/>
      </w:pPr>
      <w:r>
        <w:rPr>
          <w:rFonts w:ascii="Aptos" w:hAnsi="Aptos"/>
          <w:i w:val="0"/>
          <w:color w:val="162536"/>
          <w:sz w:val="20"/>
        </w:rPr>
        <w:t>S4 verwendet Nietzsches Äquivalenz von Schaden und Schmerz in der Ausgabe 1892 sowie die gemeinfreien Übersetzungen von Henri Albert 1900 und Horace B. Samuel 1921.</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Identität und nichtidentische Kommensurabilität</w:t>
      </w:r>
    </w:p>
    <w:p>
      <w:pPr>
        <w:spacing w:after="60"/>
        <w:ind w:left="312" w:hanging="312"/>
        <w:jc w:val="both"/>
      </w:pPr>
      <w:r>
        <w:rPr>
          <w:rFonts w:ascii="Aptos" w:hAnsi="Aptos"/>
          <w:b w:val="0"/>
          <w:color w:val="162536"/>
          <w:sz w:val="19"/>
        </w:rPr>
        <w:t xml:space="preserve">•  </w:t>
      </w:r>
      <w:r>
        <w:rPr>
          <w:rFonts w:ascii="Aptos" w:hAnsi="Aptos"/>
          <w:color w:val="162536"/>
          <w:sz w:val="19"/>
        </w:rPr>
        <w:t>formale Korrespondenz und textuelle Äquivalenz</w:t>
      </w:r>
    </w:p>
    <w:p>
      <w:pPr>
        <w:spacing w:after="60"/>
        <w:ind w:left="312" w:hanging="312"/>
        <w:jc w:val="both"/>
      </w:pPr>
      <w:r>
        <w:rPr>
          <w:rFonts w:ascii="Aptos" w:hAnsi="Aptos"/>
          <w:b w:val="0"/>
          <w:color w:val="162536"/>
          <w:sz w:val="19"/>
        </w:rPr>
        <w:t xml:space="preserve">•  </w:t>
      </w:r>
      <w:r>
        <w:rPr>
          <w:rFonts w:ascii="Aptos" w:hAnsi="Aptos"/>
          <w:color w:val="162536"/>
          <w:sz w:val="19"/>
        </w:rPr>
        <w:t>lokales Kriterium und Gesamtqualität</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23 CP-003 Übersetzungsvergleich und Gegenmodell</w:t>
      </w:r>
    </w:p>
    <w:p>
      <w:pPr>
        <w:pStyle w:val="Heading2"/>
      </w:pPr>
      <w:r>
        <w:t>Vorfestgelegtes Einzelkriterium</w:t>
      </w:r>
    </w:p>
    <w:p>
      <w:pPr>
        <w:jc w:val="both"/>
      </w:pPr>
      <w:r>
        <w:rPr>
          <w:rFonts w:ascii="Aptos" w:hAnsi="Aptos"/>
          <w:i w:val="0"/>
          <w:color w:val="162536"/>
          <w:sz w:val="20"/>
        </w:rPr>
        <w:t>Erhaltung der kompensatorischen Relation zwischen Schaden und Schmerz.</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C3-TRN-0005</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Albert 1900 FR</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C3-TRN-0006</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Samuel 1921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Explizites Gegenmodell</w:t>
      </w:r>
    </w:p>
    <w:p>
      <w:pPr>
        <w:jc w:val="both"/>
      </w:pPr>
      <w:r>
        <w:rPr>
          <w:rFonts w:ascii="Aptos" w:hAnsi="Aptos"/>
          <w:i w:val="0"/>
          <w:color w:val="162536"/>
          <w:sz w:val="20"/>
        </w:rPr>
        <w:t>Das funktionalistische Skoposmodell von Vermeer und Nord ersetzt Äquivalenz als universale Vorregel durch einen expliziten Übersetzungsauftrag, Zielpublikum und Zieltextfunktion. Lokale Äquivalenz bleibt ein mögliches Ergebnis.</w:t>
      </w:r>
    </w:p>
    <w:p>
      <w:pPr>
        <w:pStyle w:val="Heading2"/>
      </w:pPr>
      <w:r>
        <w:t>C6-Befund und Atlasfolge</w:t>
      </w:r>
    </w:p>
    <w:p>
      <w:pPr>
        <w:jc w:val="both"/>
      </w:pPr>
      <w:r>
        <w:rPr>
          <w:rFonts w:ascii="Aptos" w:hAnsi="Aptos"/>
          <w:i w:val="0"/>
          <w:color w:val="162536"/>
          <w:sz w:val="20"/>
        </w:rPr>
        <w:t>Beide Übersetzungen erhalten die Vergleichsrelation, aber injury verengt Schaden. Der Atlasanker ist im Pilotumfang bereits hinreichend relational und benötigt keine besondere Änderung.</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keine Rangfolge ganzer Übersetzungen</w:t>
      </w:r>
    </w:p>
    <w:p>
      <w:pPr>
        <w:spacing w:after="60"/>
        <w:ind w:left="312" w:hanging="312"/>
        <w:jc w:val="both"/>
      </w:pPr>
      <w:r>
        <w:rPr>
          <w:rFonts w:ascii="Aptos" w:hAnsi="Aptos"/>
          <w:b w:val="0"/>
          <w:color w:val="162536"/>
          <w:sz w:val="18"/>
        </w:rPr>
        <w:t xml:space="preserve">•  </w:t>
      </w:r>
      <w:r>
        <w:rPr>
          <w:rFonts w:ascii="Aptos" w:hAnsi="Aptos"/>
          <w:color w:val="162536"/>
          <w:sz w:val="18"/>
        </w:rPr>
        <w:t>historische Zwecke nur teilweise rekonstruierbar</w:t>
      </w:r>
    </w:p>
    <w:p>
      <w:pPr>
        <w:spacing w:after="60"/>
        <w:ind w:left="312" w:hanging="312"/>
        <w:jc w:val="both"/>
      </w:pPr>
      <w:r>
        <w:rPr>
          <w:rFonts w:ascii="Aptos" w:hAnsi="Aptos"/>
          <w:b w:val="0"/>
          <w:color w:val="162536"/>
          <w:sz w:val="18"/>
        </w:rPr>
        <w:t xml:space="preserve">•  </w:t>
      </w:r>
      <w:r>
        <w:rPr>
          <w:rFonts w:ascii="Aptos" w:hAnsi="Aptos"/>
          <w:color w:val="162536"/>
          <w:sz w:val="18"/>
        </w:rPr>
        <w:t>Äquivalenzkriterien nicht homogenisiert</w:t>
      </w:r>
    </w:p>
    <w:p>
      <w:pPr>
        <w:pStyle w:val="Heading1"/>
      </w:pPr>
      <w:r>
        <w:t>24 CP-004 Falscher Freund Begriffsprofil</w:t>
      </w:r>
    </w:p>
    <w:p>
      <w:pPr>
        <w:spacing w:before="80" w:after="120"/>
      </w:pPr>
      <w:r>
        <w:rPr>
          <w:rFonts w:ascii="Aptos" w:hAnsi="Aptos"/>
          <w:b/>
          <w:color w:val="C79A3B"/>
          <w:sz w:val="17"/>
        </w:rPr>
        <w:t xml:space="preserve">ATLASANKER  </w:t>
      </w:r>
      <w:r>
        <w:rPr>
          <w:rFonts w:ascii="Aptos" w:hAnsi="Aptos"/>
          <w:color w:val="162536"/>
          <w:sz w:val="20"/>
        </w:rPr>
        <w:t>AT-W3-0299 · retain_with_research_context</w:t>
      </w:r>
    </w:p>
    <w:p>
      <w:pPr>
        <w:jc w:val="both"/>
      </w:pPr>
      <w:r>
        <w:rPr>
          <w:rFonts w:ascii="Aptos" w:hAnsi="Aptos"/>
          <w:i w:val="0"/>
          <w:color w:val="162536"/>
          <w:sz w:val="20"/>
        </w:rPr>
        <w:t>Der Fall trennt interlinguale falsche Freunde, intralingualen diachronen Bedeutungswandel und etymologische false cognates. Formähnlichkeit allein entscheidet keine dieser Klassen.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Quellenbasis</w:t>
      </w:r>
    </w:p>
    <w:p>
      <w:pPr>
        <w:jc w:val="both"/>
      </w:pPr>
      <w:r>
        <w:rPr>
          <w:rFonts w:ascii="Aptos" w:hAnsi="Aptos"/>
          <w:i w:val="0"/>
          <w:color w:val="162536"/>
          <w:sz w:val="20"/>
        </w:rPr>
        <w:t>Bayles lieu commun von 1727 wird mit einer englischen Übersetzung von 1708 in der redaktionell geänderten Fassung 2005 und der englischen Cassin-Fassung von 2014 verglichen.</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interlingualer falscher Freund</w:t>
      </w:r>
    </w:p>
    <w:p>
      <w:pPr>
        <w:spacing w:after="60"/>
        <w:ind w:left="312" w:hanging="312"/>
        <w:jc w:val="both"/>
      </w:pPr>
      <w:r>
        <w:rPr>
          <w:rFonts w:ascii="Aptos" w:hAnsi="Aptos"/>
          <w:b w:val="0"/>
          <w:color w:val="162536"/>
          <w:sz w:val="19"/>
        </w:rPr>
        <w:t xml:space="preserve">•  </w:t>
      </w:r>
      <w:r>
        <w:rPr>
          <w:rFonts w:ascii="Aptos" w:hAnsi="Aptos"/>
          <w:color w:val="162536"/>
          <w:sz w:val="19"/>
        </w:rPr>
        <w:t>diachrone Verschiebung innerhalb einer Sprache</w:t>
      </w:r>
    </w:p>
    <w:p>
      <w:pPr>
        <w:spacing w:after="60"/>
        <w:ind w:left="312" w:hanging="312"/>
        <w:jc w:val="both"/>
      </w:pPr>
      <w:r>
        <w:rPr>
          <w:rFonts w:ascii="Aptos" w:hAnsi="Aptos"/>
          <w:b w:val="0"/>
          <w:color w:val="162536"/>
          <w:sz w:val="19"/>
        </w:rPr>
        <w:t xml:space="preserve">•  </w:t>
      </w:r>
      <w:r>
        <w:rPr>
          <w:rFonts w:ascii="Aptos" w:hAnsi="Aptos"/>
          <w:color w:val="162536"/>
          <w:sz w:val="19"/>
        </w:rPr>
        <w:t>bloße Formähnlichkeit ohne etymologische Verwandtschaft</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24 CP-004 Übersetzungsvergleich und Gegenmodell</w:t>
      </w:r>
    </w:p>
    <w:p>
      <w:pPr>
        <w:pStyle w:val="Heading2"/>
      </w:pPr>
      <w:r>
        <w:t>Vorfestgelegtes Einzelkriterium</w:t>
      </w:r>
    </w:p>
    <w:p>
      <w:pPr>
        <w:jc w:val="both"/>
      </w:pPr>
      <w:r>
        <w:rPr>
          <w:rFonts w:ascii="Aptos" w:hAnsi="Aptos"/>
          <w:i w:val="0"/>
          <w:color w:val="162536"/>
          <w:sz w:val="20"/>
        </w:rPr>
        <w:t>Erhaltung des historischen argumentativen Topos, nicht nur der modernen Klischeelesart.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C3-TRN-0008</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1708 / 2005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U4</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C3-TRN-0009</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Cassin 2014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U4 U6</w:t>
            </w:r>
          </w:p>
        </w:tc>
      </w:tr>
    </w:tbl>
    <w:p>
      <w:pPr>
        <w:spacing w:after="0"/>
      </w:pPr>
    </w:p>
    <w:p>
      <w:pPr>
        <w:pStyle w:val="Heading2"/>
      </w:pPr>
      <w:r>
        <w:t>Explizites Gegenmodell</w:t>
      </w:r>
    </w:p>
    <w:p>
      <w:pPr>
        <w:jc w:val="both"/>
      </w:pPr>
      <w:r>
        <w:rPr>
          <w:rFonts w:ascii="Aptos" w:hAnsi="Aptos"/>
          <w:i w:val="0"/>
          <w:color w:val="162536"/>
          <w:sz w:val="20"/>
        </w:rPr>
        <w:t>Ein verteiltes konnektionistisches Modell von Kognaten und interlingualen Homographen zeigt aufgabenabhängige Verarbeitung. Es begrenzt statische Paarlisten als vollständige Theorie, ohne ihren lexikografischen Nutzen aufzuheben.</w:t>
      </w:r>
    </w:p>
    <w:p>
      <w:pPr>
        <w:pStyle w:val="Heading2"/>
      </w:pPr>
      <w:r>
        <w:t>C6-Befund und Atlasfolge</w:t>
      </w:r>
    </w:p>
    <w:p>
      <w:pPr>
        <w:jc w:val="both"/>
      </w:pPr>
      <w:r>
        <w:rPr>
          <w:rFonts w:ascii="Aptos" w:hAnsi="Aptos"/>
          <w:i w:val="0"/>
          <w:color w:val="162536"/>
          <w:sz w:val="20"/>
        </w:rPr>
        <w:t>Die historische Fassung hält den Topos sichtbar; EN2014 aktiviert im Mikrotext stärker das Klischee. Der Atlasanker sollte mit diachroner und typologischer Kontextmarkierung gelesen werden.</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stille redaktionelle Änderung von 2005</w:t>
      </w:r>
    </w:p>
    <w:p>
      <w:pPr>
        <w:spacing w:after="60"/>
        <w:ind w:left="312" w:hanging="312"/>
        <w:jc w:val="both"/>
      </w:pPr>
      <w:r>
        <w:rPr>
          <w:rFonts w:ascii="Aptos" w:hAnsi="Aptos"/>
          <w:b w:val="0"/>
          <w:color w:val="162536"/>
          <w:sz w:val="18"/>
        </w:rPr>
        <w:t xml:space="preserve">•  </w:t>
      </w:r>
      <w:r>
        <w:rPr>
          <w:rFonts w:ascii="Aptos" w:hAnsi="Aptos"/>
          <w:color w:val="162536"/>
          <w:sz w:val="18"/>
        </w:rPr>
        <w:t>Cassin-Kommentar repariert den Mikrotext erst außerhalb</w:t>
      </w:r>
    </w:p>
    <w:p>
      <w:pPr>
        <w:spacing w:after="60"/>
        <w:ind w:left="312" w:hanging="312"/>
        <w:jc w:val="both"/>
      </w:pPr>
      <w:r>
        <w:rPr>
          <w:rFonts w:ascii="Aptos" w:hAnsi="Aptos"/>
          <w:b w:val="0"/>
          <w:color w:val="162536"/>
          <w:sz w:val="18"/>
        </w:rPr>
        <w:t xml:space="preserve">•  </w:t>
      </w:r>
      <w:r>
        <w:rPr>
          <w:rFonts w:ascii="Aptos" w:hAnsi="Aptos"/>
          <w:color w:val="162536"/>
          <w:sz w:val="18"/>
        </w:rPr>
        <w:t>Verarbeitungsexperiment ist keine vollständige Lexikontheorie</w:t>
      </w:r>
    </w:p>
    <w:p>
      <w:pPr>
        <w:pStyle w:val="Heading1"/>
      </w:pPr>
      <w:r>
        <w:t>25 CP-005 Hermeneutik Begriffsprofil</w:t>
      </w:r>
    </w:p>
    <w:p>
      <w:pPr>
        <w:spacing w:before="80" w:after="120"/>
      </w:pPr>
      <w:r>
        <w:rPr>
          <w:rFonts w:ascii="Aptos" w:hAnsi="Aptos"/>
          <w:b/>
          <w:color w:val="C79A3B"/>
          <w:sz w:val="17"/>
        </w:rPr>
        <w:t xml:space="preserve">ATLASANKER  </w:t>
      </w:r>
      <w:r>
        <w:rPr>
          <w:rFonts w:ascii="Aptos" w:hAnsi="Aptos"/>
          <w:color w:val="162536"/>
          <w:sz w:val="20"/>
        </w:rPr>
        <w:t>AT-W3-0314 · retain_with_research_context</w:t>
      </w:r>
    </w:p>
    <w:p>
      <w:pPr>
        <w:jc w:val="both"/>
      </w:pPr>
      <w:r>
        <w:rPr>
          <w:rFonts w:ascii="Aptos" w:hAnsi="Aptos"/>
          <w:i w:val="0"/>
          <w:color w:val="162536"/>
          <w:sz w:val="20"/>
        </w:rPr>
        <w:t>Hermeneutik umfasst im Sample antike Auslegungsvokabulare, die allgemeine Kunst des Verstehens und spätere ontologische beziehungsweise kritische Modelle. Diese Schichten dürfen nicht rückwirkend als ein stabiler Begriff behandelt werden.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Quellenbasis</w:t>
      </w:r>
    </w:p>
    <w:p>
      <w:pPr>
        <w:jc w:val="both"/>
      </w:pPr>
      <w:r>
        <w:rPr>
          <w:rFonts w:ascii="Aptos" w:hAnsi="Aptos"/>
          <w:i w:val="0"/>
          <w:color w:val="162536"/>
          <w:sz w:val="20"/>
        </w:rPr>
        <w:t>Platon, Aristoteles und Schleiermacher bilden die Primärschicht. S4 vergleicht den Eröffnungssatz von Hermeneutik und Kritik 1838 in den englischen Fassungen von Bowie 1998 und Glebe/GHI.</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spezielle und allgemeine Hermeneutik</w:t>
      </w:r>
    </w:p>
    <w:p>
      <w:pPr>
        <w:spacing w:after="60"/>
        <w:ind w:left="312" w:hanging="312"/>
        <w:jc w:val="both"/>
      </w:pPr>
      <w:r>
        <w:rPr>
          <w:rFonts w:ascii="Aptos" w:hAnsi="Aptos"/>
          <w:b w:val="0"/>
          <w:color w:val="162536"/>
          <w:sz w:val="19"/>
        </w:rPr>
        <w:t xml:space="preserve">•  </w:t>
      </w:r>
      <w:r>
        <w:rPr>
          <w:rFonts w:ascii="Aptos" w:hAnsi="Aptos"/>
          <w:color w:val="162536"/>
          <w:sz w:val="19"/>
        </w:rPr>
        <w:t>methodische, geisteswissenschaftliche und ontologische Modelle</w:t>
      </w:r>
    </w:p>
    <w:p>
      <w:pPr>
        <w:spacing w:after="60"/>
        <w:ind w:left="312" w:hanging="312"/>
        <w:jc w:val="both"/>
      </w:pPr>
      <w:r>
        <w:rPr>
          <w:rFonts w:ascii="Aptos" w:hAnsi="Aptos"/>
          <w:b w:val="0"/>
          <w:color w:val="162536"/>
          <w:sz w:val="19"/>
        </w:rPr>
        <w:t xml:space="preserve">•  </w:t>
      </w:r>
      <w:r>
        <w:rPr>
          <w:rFonts w:ascii="Aptos" w:hAnsi="Aptos"/>
          <w:color w:val="162536"/>
          <w:sz w:val="19"/>
        </w:rPr>
        <w:t>Verstehen und Erklärung systematischer Verzerrung</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25 CP-005 Übersetzungsvergleich und Gegenmodell</w:t>
      </w:r>
    </w:p>
    <w:p>
      <w:pPr>
        <w:pStyle w:val="Heading2"/>
      </w:pPr>
      <w:r>
        <w:t>Vorfestgelegtes Einzelkriterium</w:t>
      </w:r>
    </w:p>
    <w:p>
      <w:pPr>
        <w:jc w:val="both"/>
      </w:pPr>
      <w:r>
        <w:rPr>
          <w:rFonts w:ascii="Aptos" w:hAnsi="Aptos"/>
          <w:i w:val="0"/>
          <w:color w:val="162536"/>
          <w:sz w:val="20"/>
        </w:rPr>
        <w:t>Erhaltung des Gegensatzes zwischen fehlender allgemeiner und vorhandenen speziellen Hermeneutiken.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C3-TRN-0010</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Bowie 1998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U6</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C3-TRN-0011</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Glebe GHI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U6</w:t>
            </w:r>
          </w:p>
        </w:tc>
      </w:tr>
    </w:tbl>
    <w:p>
      <w:pPr>
        <w:spacing w:after="0"/>
      </w:pPr>
    </w:p>
    <w:p>
      <w:pPr>
        <w:pStyle w:val="Heading2"/>
      </w:pPr>
      <w:r>
        <w:t>Explizites Gegenmodell</w:t>
      </w:r>
    </w:p>
    <w:p>
      <w:pPr>
        <w:jc w:val="both"/>
      </w:pPr>
      <w:r>
        <w:rPr>
          <w:rFonts w:ascii="Aptos" w:hAnsi="Aptos"/>
          <w:i w:val="0"/>
          <w:color w:val="162536"/>
          <w:sz w:val="20"/>
        </w:rPr>
        <w:t>Habermas begrenzt die Universalität philosophischer Hermeneutik: faktischer Konsens kann unter systematisch verzerrter Kommunikation falscher Konsens sein. Verstehen benötigt dann kausale Erklärung und Ideologiekritik.</w:t>
      </w:r>
    </w:p>
    <w:p>
      <w:pPr>
        <w:pStyle w:val="Heading2"/>
      </w:pPr>
      <w:r>
        <w:t>C6-Befund und Atlasfolge</w:t>
      </w:r>
    </w:p>
    <w:p>
      <w:pPr>
        <w:jc w:val="both"/>
      </w:pPr>
      <w:r>
        <w:rPr>
          <w:rFonts w:ascii="Aptos" w:hAnsi="Aptos"/>
          <w:i w:val="0"/>
          <w:color w:val="162536"/>
          <w:sz w:val="20"/>
        </w:rPr>
        <w:t>Beide Ziele erhalten den Satzkern; Glebe profiliert allgemeine Hermeneutik stärker als umfassende Reichweite. Der Atlasanker bleibt tragfähig, braucht aber eine historische Kontextrelativierung.</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Schleiermacher, Dilthey, Heidegger und Gadamer nicht homogenisiert</w:t>
      </w:r>
    </w:p>
    <w:p>
      <w:pPr>
        <w:spacing w:after="60"/>
        <w:ind w:left="312" w:hanging="312"/>
        <w:jc w:val="both"/>
      </w:pPr>
      <w:r>
        <w:rPr>
          <w:rFonts w:ascii="Aptos" w:hAnsi="Aptos"/>
          <w:b w:val="0"/>
          <w:color w:val="162536"/>
          <w:sz w:val="18"/>
        </w:rPr>
        <w:t xml:space="preserve">•  </w:t>
      </w:r>
      <w:r>
        <w:rPr>
          <w:rFonts w:ascii="Aptos" w:hAnsi="Aptos"/>
          <w:color w:val="162536"/>
          <w:sz w:val="18"/>
        </w:rPr>
        <w:t>Habermas ist Ergänzung und Kritik, keine Totalverwerfung</w:t>
      </w:r>
    </w:p>
    <w:p>
      <w:pPr>
        <w:spacing w:after="60"/>
        <w:ind w:left="312" w:hanging="312"/>
        <w:jc w:val="both"/>
      </w:pPr>
      <w:r>
        <w:rPr>
          <w:rFonts w:ascii="Aptos" w:hAnsi="Aptos"/>
          <w:b w:val="0"/>
          <w:color w:val="162536"/>
          <w:sz w:val="18"/>
        </w:rPr>
        <w:t xml:space="preserve">•  </w:t>
      </w:r>
      <w:r>
        <w:rPr>
          <w:rFonts w:ascii="Aptos" w:hAnsi="Aptos"/>
          <w:color w:val="162536"/>
          <w:sz w:val="18"/>
        </w:rPr>
        <w:t>moderne Texte nur als Kurzzitat</w:t>
      </w:r>
    </w:p>
    <w:p>
      <w:pPr>
        <w:pStyle w:val="Heading1"/>
      </w:pPr>
      <w:r>
        <w:t>26 CP-006 Intentionalität Begriffsprofil</w:t>
      </w:r>
    </w:p>
    <w:p>
      <w:pPr>
        <w:spacing w:before="80" w:after="120"/>
      </w:pPr>
      <w:r>
        <w:rPr>
          <w:rFonts w:ascii="Aptos" w:hAnsi="Aptos"/>
          <w:b/>
          <w:color w:val="C79A3B"/>
          <w:sz w:val="17"/>
        </w:rPr>
        <w:t xml:space="preserve">ATLASANKER  </w:t>
      </w:r>
      <w:r>
        <w:rPr>
          <w:rFonts w:ascii="Aptos" w:hAnsi="Aptos"/>
          <w:color w:val="162536"/>
          <w:sz w:val="20"/>
        </w:rPr>
        <w:t>AT-103-027 · revision_candidate_research_only</w:t>
      </w:r>
    </w:p>
    <w:p>
      <w:pPr>
        <w:jc w:val="both"/>
      </w:pPr>
      <w:r>
        <w:rPr>
          <w:rFonts w:ascii="Aptos" w:hAnsi="Aptos"/>
          <w:i w:val="0"/>
          <w:color w:val="162536"/>
          <w:sz w:val="20"/>
        </w:rPr>
        <w:t>Der Fall hält Intention, Intentionalität und Intensionalität konsequent auseinander. Thomas' intentio bezeichnet nicht automatisch Brentanos Merkmal des Psychischen, und logische Intensionalität ist keine Variante mentaler Gerichtetheit.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Quellenbasis</w:t>
      </w:r>
    </w:p>
    <w:p>
      <w:pPr>
        <w:jc w:val="both"/>
      </w:pPr>
      <w:r>
        <w:rPr>
          <w:rFonts w:ascii="Aptos" w:hAnsi="Aptos"/>
          <w:i w:val="0"/>
          <w:color w:val="162536"/>
          <w:sz w:val="20"/>
        </w:rPr>
        <w:t>Thomas, Brentano und Husserl bilden die begriffsgeschichtliche Achse. S4 vergleicht Thomas' Namensdeutung der intentio mit der englischen Dominikanerübersetzung von 1920 und Schneiders deutscher Fassung 1886–1892.</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gewöhnliche Absicht</w:t>
      </w:r>
    </w:p>
    <w:p>
      <w:pPr>
        <w:spacing w:after="60"/>
        <w:ind w:left="312" w:hanging="312"/>
        <w:jc w:val="both"/>
      </w:pPr>
      <w:r>
        <w:rPr>
          <w:rFonts w:ascii="Aptos" w:hAnsi="Aptos"/>
          <w:b w:val="0"/>
          <w:color w:val="162536"/>
          <w:sz w:val="19"/>
        </w:rPr>
        <w:t xml:space="preserve">•  </w:t>
      </w:r>
      <w:r>
        <w:rPr>
          <w:rFonts w:ascii="Aptos" w:hAnsi="Aptos"/>
          <w:color w:val="162536"/>
          <w:sz w:val="19"/>
        </w:rPr>
        <w:t>mentale Gerichtetheit</w:t>
      </w:r>
    </w:p>
    <w:p>
      <w:pPr>
        <w:spacing w:after="60"/>
        <w:ind w:left="312" w:hanging="312"/>
        <w:jc w:val="both"/>
      </w:pPr>
      <w:r>
        <w:rPr>
          <w:rFonts w:ascii="Aptos" w:hAnsi="Aptos"/>
          <w:b w:val="0"/>
          <w:color w:val="162536"/>
          <w:sz w:val="19"/>
        </w:rPr>
        <w:t xml:space="preserve">•  </w:t>
      </w:r>
      <w:r>
        <w:rPr>
          <w:rFonts w:ascii="Aptos" w:hAnsi="Aptos"/>
          <w:color w:val="162536"/>
          <w:sz w:val="19"/>
        </w:rPr>
        <w:t>logisch-semantische Intensionalität</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26 CP-006 Übersetzungsvergleich und Gegenmodell</w:t>
      </w:r>
    </w:p>
    <w:p>
      <w:pPr>
        <w:pStyle w:val="Heading2"/>
      </w:pPr>
      <w:r>
        <w:t>Vorfestgelegtes Einzelkriterium</w:t>
      </w:r>
    </w:p>
    <w:p>
      <w:pPr>
        <w:jc w:val="both"/>
      </w:pPr>
      <w:r>
        <w:rPr>
          <w:rFonts w:ascii="Aptos" w:hAnsi="Aptos"/>
          <w:i w:val="0"/>
          <w:color w:val="162536"/>
          <w:sz w:val="20"/>
        </w:rPr>
        <w:t>Erhaltung der metasprachlich markierten Zielgerichtetheit auf etwas.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C3-TRN-0012</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Dominican 1920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U3 U6</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C3-TRN-0013</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Schneider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 U3</w:t>
            </w:r>
          </w:p>
        </w:tc>
      </w:tr>
    </w:tbl>
    <w:p>
      <w:pPr>
        <w:spacing w:after="0"/>
      </w:pPr>
    </w:p>
    <w:p>
      <w:pPr>
        <w:pStyle w:val="Heading2"/>
      </w:pPr>
      <w:r>
        <w:t>Explizites Gegenmodell</w:t>
      </w:r>
    </w:p>
    <w:p>
      <w:pPr>
        <w:jc w:val="both"/>
      </w:pPr>
      <w:r>
        <w:rPr>
          <w:rFonts w:ascii="Aptos" w:hAnsi="Aptos"/>
          <w:i w:val="0"/>
          <w:color w:val="162536"/>
          <w:sz w:val="20"/>
        </w:rPr>
        <w:t>Dennetts Modell intentionaler Systeme bindet Intentionalität an eine erklärende und prognostische Strategie. Es beweist keine intrinsischen mentalen Zustände und hebt die praktische Erklärungskraft der intentional stance nicht auf.</w:t>
      </w:r>
    </w:p>
    <w:p>
      <w:pPr>
        <w:pStyle w:val="Heading2"/>
      </w:pPr>
      <w:r>
        <w:t>C6-Befund und Atlasfolge</w:t>
      </w:r>
    </w:p>
    <w:p>
      <w:pPr>
        <w:jc w:val="both"/>
      </w:pPr>
      <w:r>
        <w:rPr>
          <w:rFonts w:ascii="Aptos" w:hAnsi="Aptos"/>
          <w:i w:val="0"/>
          <w:color w:val="162536"/>
          <w:sz w:val="20"/>
        </w:rPr>
        <w:t>Beide Ziele erhalten die Richtungsfigur, aber nur im thomistischen Satz. Der Atlasanker ist ein Revisionskandidat, weil seine Formulierung die getrennten Felder vermischen kann.</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keine Rückprojektion moderner Terminologie</w:t>
      </w:r>
    </w:p>
    <w:p>
      <w:pPr>
        <w:spacing w:after="60"/>
        <w:ind w:left="312" w:hanging="312"/>
        <w:jc w:val="both"/>
      </w:pPr>
      <w:r>
        <w:rPr>
          <w:rFonts w:ascii="Aptos" w:hAnsi="Aptos"/>
          <w:b w:val="0"/>
          <w:color w:val="162536"/>
          <w:sz w:val="18"/>
        </w:rPr>
        <w:t xml:space="preserve">•  </w:t>
      </w:r>
      <w:r>
        <w:rPr>
          <w:rFonts w:ascii="Aptos" w:hAnsi="Aptos"/>
          <w:color w:val="162536"/>
          <w:sz w:val="18"/>
        </w:rPr>
        <w:t>Dennett nicht als Eliminativismus verkürzt</w:t>
      </w:r>
    </w:p>
    <w:p>
      <w:pPr>
        <w:spacing w:after="60"/>
        <w:ind w:left="312" w:hanging="312"/>
        <w:jc w:val="both"/>
      </w:pPr>
      <w:r>
        <w:rPr>
          <w:rFonts w:ascii="Aptos" w:hAnsi="Aptos"/>
          <w:b w:val="0"/>
          <w:color w:val="162536"/>
          <w:sz w:val="18"/>
        </w:rPr>
        <w:t xml:space="preserve">•  </w:t>
      </w:r>
      <w:r>
        <w:rPr>
          <w:rFonts w:ascii="Aptos" w:hAnsi="Aptos"/>
          <w:color w:val="162536"/>
          <w:sz w:val="18"/>
        </w:rPr>
        <w:t>Revision nur Forschungsvorschlag</w:t>
      </w:r>
    </w:p>
    <w:p>
      <w:pPr>
        <w:pStyle w:val="Heading1"/>
      </w:pPr>
      <w:r>
        <w:t>27 CP-007 Doxa Begriffsprofil</w:t>
      </w:r>
    </w:p>
    <w:p>
      <w:pPr>
        <w:spacing w:before="80" w:after="120"/>
      </w:pPr>
      <w:r>
        <w:rPr>
          <w:rFonts w:ascii="Aptos" w:hAnsi="Aptos"/>
          <w:b/>
          <w:color w:val="C79A3B"/>
          <w:sz w:val="17"/>
        </w:rPr>
        <w:t xml:space="preserve">ATLASANKER  </w:t>
      </w:r>
      <w:r>
        <w:rPr>
          <w:rFonts w:ascii="Aptos" w:hAnsi="Aptos"/>
          <w:color w:val="162536"/>
          <w:sz w:val="20"/>
        </w:rPr>
        <w:t>AT-OXD-0001 · revision_candidate_research_only</w:t>
      </w:r>
    </w:p>
    <w:p>
      <w:pPr>
        <w:jc w:val="both"/>
      </w:pPr>
      <w:r>
        <w:rPr>
          <w:rFonts w:ascii="Aptos" w:hAnsi="Aptos"/>
          <w:i w:val="0"/>
          <w:color w:val="162536"/>
          <w:sz w:val="20"/>
        </w:rPr>
        <w:t>Doxa bezeichnet je nach Korpus epistemische Meinung, anerkannte Geltung, Ruf, Erscheinung oder eine vorreflexive Praxisbindung. Endoxa, Meinung und Falschheit sind keine austauschbaren Unterfälle.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Quellenbasis</w:t>
      </w:r>
    </w:p>
    <w:p>
      <w:pPr>
        <w:jc w:val="both"/>
      </w:pPr>
      <w:r>
        <w:rPr>
          <w:rFonts w:ascii="Aptos" w:hAnsi="Aptos"/>
          <w:i w:val="0"/>
          <w:color w:val="162536"/>
          <w:sz w:val="20"/>
        </w:rPr>
        <w:t>Platons Politeia V 477e–478a und Aristoteles' Topik bilden zwei getrennte antike Modelle. S4 vergleicht die platonische Nichtidentität von doxa und episteme bei Jowett 1892 und Chambry 1933.</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doxa und episteme</w:t>
      </w:r>
    </w:p>
    <w:p>
      <w:pPr>
        <w:spacing w:after="60"/>
        <w:ind w:left="312" w:hanging="312"/>
        <w:jc w:val="both"/>
      </w:pPr>
      <w:r>
        <w:rPr>
          <w:rFonts w:ascii="Aptos" w:hAnsi="Aptos"/>
          <w:b w:val="0"/>
          <w:color w:val="162536"/>
          <w:sz w:val="19"/>
        </w:rPr>
        <w:t xml:space="preserve">•  </w:t>
      </w:r>
      <w:r>
        <w:rPr>
          <w:rFonts w:ascii="Aptos" w:hAnsi="Aptos"/>
          <w:color w:val="162536"/>
          <w:sz w:val="19"/>
        </w:rPr>
        <w:t>doxa und endoxa</w:t>
      </w:r>
    </w:p>
    <w:p>
      <w:pPr>
        <w:spacing w:after="60"/>
        <w:ind w:left="312" w:hanging="312"/>
        <w:jc w:val="both"/>
      </w:pPr>
      <w:r>
        <w:rPr>
          <w:rFonts w:ascii="Aptos" w:hAnsi="Aptos"/>
          <w:b w:val="0"/>
          <w:color w:val="162536"/>
          <w:sz w:val="19"/>
        </w:rPr>
        <w:t xml:space="preserve">•  </w:t>
      </w:r>
      <w:r>
        <w:rPr>
          <w:rFonts w:ascii="Aptos" w:hAnsi="Aptos"/>
          <w:color w:val="162536"/>
          <w:sz w:val="19"/>
        </w:rPr>
        <w:t>explizite Meinung und vorreflexive Geltung</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27 CP-007 Übersetzungsvergleich und Gegenmodell</w:t>
      </w:r>
    </w:p>
    <w:p>
      <w:pPr>
        <w:pStyle w:val="Heading2"/>
      </w:pPr>
      <w:r>
        <w:t>Vorfestgelegtes Einzelkriterium</w:t>
      </w:r>
    </w:p>
    <w:p>
      <w:pPr>
        <w:jc w:val="both"/>
      </w:pPr>
      <w:r>
        <w:rPr>
          <w:rFonts w:ascii="Aptos" w:hAnsi="Aptos"/>
          <w:i w:val="0"/>
          <w:color w:val="162536"/>
          <w:sz w:val="20"/>
        </w:rPr>
        <w:t>Erhaltung der kategorialen Nichtidentität von doxa und episteme im lokalen Dialogzug.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C3-TRN-0014</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Jowett 1892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C3-TRN-0015</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Chambry 1933 FR</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Explizites Gegenmodell</w:t>
      </w:r>
    </w:p>
    <w:p>
      <w:pPr>
        <w:jc w:val="both"/>
      </w:pPr>
      <w:r>
        <w:rPr>
          <w:rFonts w:ascii="Aptos" w:hAnsi="Aptos"/>
          <w:i w:val="0"/>
          <w:color w:val="162536"/>
          <w:sz w:val="20"/>
        </w:rPr>
        <w:t>Bourdieus praxistheoretische Doxa bezeichnet vorreflexive praktische Zustimmung zur sozialen Welt. Sie lässt sich weder auf eine explizite Meinung noch auf eine falsche Proposition reduzieren.</w:t>
      </w:r>
    </w:p>
    <w:p>
      <w:pPr>
        <w:pStyle w:val="Heading2"/>
      </w:pPr>
      <w:r>
        <w:t>C6-Befund und Atlasfolge</w:t>
      </w:r>
    </w:p>
    <w:p>
      <w:pPr>
        <w:jc w:val="both"/>
      </w:pPr>
      <w:r>
        <w:rPr>
          <w:rFonts w:ascii="Aptos" w:hAnsi="Aptos"/>
          <w:i w:val="0"/>
          <w:color w:val="162536"/>
          <w:sz w:val="20"/>
        </w:rPr>
        <w:t>Beide Übersetzungen bewahren die lokale Opposition, erschöpfen aber die historischen Bedeutungsfelder nicht. Der Atlasanker ist ein Revisionskandidat, weil sein Meinungsschwerpunkt zu eng ist.</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Bourdieu-Seiten nicht als lückenloser Volltext gelesen</w:t>
      </w:r>
    </w:p>
    <w:p>
      <w:pPr>
        <w:spacing w:after="60"/>
        <w:ind w:left="312" w:hanging="312"/>
        <w:jc w:val="both"/>
      </w:pPr>
      <w:r>
        <w:rPr>
          <w:rFonts w:ascii="Aptos" w:hAnsi="Aptos"/>
          <w:b w:val="0"/>
          <w:color w:val="162536"/>
          <w:sz w:val="18"/>
        </w:rPr>
        <w:t xml:space="preserve">•  </w:t>
      </w:r>
      <w:r>
        <w:rPr>
          <w:rFonts w:ascii="Aptos" w:hAnsi="Aptos"/>
          <w:color w:val="162536"/>
          <w:sz w:val="18"/>
        </w:rPr>
        <w:t>antike und moderne Doxa nicht identifiziert</w:t>
      </w:r>
    </w:p>
    <w:p>
      <w:pPr>
        <w:spacing w:after="60"/>
        <w:ind w:left="312" w:hanging="312"/>
        <w:jc w:val="both"/>
      </w:pPr>
      <w:r>
        <w:rPr>
          <w:rFonts w:ascii="Aptos" w:hAnsi="Aptos"/>
          <w:b w:val="0"/>
          <w:color w:val="162536"/>
          <w:sz w:val="18"/>
        </w:rPr>
        <w:t xml:space="preserve">•  </w:t>
      </w:r>
      <w:r>
        <w:rPr>
          <w:rFonts w:ascii="Aptos" w:hAnsi="Aptos"/>
          <w:color w:val="162536"/>
          <w:sz w:val="18"/>
        </w:rPr>
        <w:t>kein menschlicher Fachreview</w:t>
      </w:r>
    </w:p>
    <w:p>
      <w:pPr>
        <w:pStyle w:val="Heading1"/>
      </w:pPr>
      <w:r>
        <w:t>28 CP-008 Aporie Begriffsprofil</w:t>
      </w:r>
    </w:p>
    <w:p>
      <w:pPr>
        <w:spacing w:before="80" w:after="120"/>
      </w:pPr>
      <w:r>
        <w:rPr>
          <w:rFonts w:ascii="Aptos" w:hAnsi="Aptos"/>
          <w:b/>
          <w:color w:val="C79A3B"/>
          <w:sz w:val="17"/>
        </w:rPr>
        <w:t xml:space="preserve">ATLASANKER  </w:t>
      </w:r>
      <w:r>
        <w:rPr>
          <w:rFonts w:ascii="Aptos" w:hAnsi="Aptos"/>
          <w:color w:val="162536"/>
          <w:sz w:val="20"/>
        </w:rPr>
        <w:t>AT-METZ1-0009 · retain_as_is</w:t>
      </w:r>
    </w:p>
    <w:p>
      <w:pPr>
        <w:jc w:val="both"/>
      </w:pPr>
      <w:r>
        <w:rPr>
          <w:rFonts w:ascii="Aptos" w:hAnsi="Aptos"/>
          <w:i w:val="0"/>
          <w:color w:val="162536"/>
          <w:sz w:val="20"/>
        </w:rPr>
        <w:t>Aporie wird in drei Achsen zerlegt: methodisch zu durchschreitende Verlegenheit, logisch oder philosophisch unauflösbarer Nichtweg und rhetorisch inszeniertes Zögern. Ein Wortbefund darf diese Achsen nicht zusammenziehen.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unverified_present_not_cluster_qualified</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Quellenbasis</w:t>
      </w:r>
    </w:p>
    <w:p>
      <w:pPr>
        <w:jc w:val="both"/>
      </w:pPr>
      <w:r>
        <w:rPr>
          <w:rFonts w:ascii="Aptos" w:hAnsi="Aptos"/>
          <w:i w:val="0"/>
          <w:color w:val="162536"/>
          <w:sz w:val="20"/>
        </w:rPr>
        <w:t>Aristoteles' Metaphysik B 1 und Quintilians rhetorische Behandlung bilden die Primärschicht. S4 vergleicht Aristoteles 995a24–b4 bei Tredennick 1933 und Bonitz 1890.</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methodische Perplexität</w:t>
      </w:r>
    </w:p>
    <w:p>
      <w:pPr>
        <w:spacing w:after="60"/>
        <w:ind w:left="312" w:hanging="312"/>
        <w:jc w:val="both"/>
      </w:pPr>
      <w:r>
        <w:rPr>
          <w:rFonts w:ascii="Aptos" w:hAnsi="Aptos"/>
          <w:b w:val="0"/>
          <w:color w:val="162536"/>
          <w:sz w:val="19"/>
        </w:rPr>
        <w:t xml:space="preserve">•  </w:t>
      </w:r>
      <w:r>
        <w:rPr>
          <w:rFonts w:ascii="Aptos" w:hAnsi="Aptos"/>
          <w:color w:val="162536"/>
          <w:sz w:val="19"/>
        </w:rPr>
        <w:t>logische oder philosophische Unlösbarkeit</w:t>
      </w:r>
    </w:p>
    <w:p>
      <w:pPr>
        <w:spacing w:after="60"/>
        <w:ind w:left="312" w:hanging="312"/>
        <w:jc w:val="both"/>
      </w:pPr>
      <w:r>
        <w:rPr>
          <w:rFonts w:ascii="Aptos" w:hAnsi="Aptos"/>
          <w:b w:val="0"/>
          <w:color w:val="162536"/>
          <w:sz w:val="19"/>
        </w:rPr>
        <w:t xml:space="preserve">•  </w:t>
      </w:r>
      <w:r>
        <w:rPr>
          <w:rFonts w:ascii="Aptos" w:hAnsi="Aptos"/>
          <w:color w:val="162536"/>
          <w:sz w:val="19"/>
        </w:rPr>
        <w:t>rhetorische Aporie</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28 CP-008 Übersetzungsvergleich und Gegenmodell</w:t>
      </w:r>
    </w:p>
    <w:p>
      <w:pPr>
        <w:pStyle w:val="Heading2"/>
      </w:pPr>
      <w:r>
        <w:t>Vorfestgelegtes Einzelkriterium</w:t>
      </w:r>
    </w:p>
    <w:p>
      <w:pPr>
        <w:jc w:val="both"/>
      </w:pPr>
      <w:r>
        <w:rPr>
          <w:rFonts w:ascii="Aptos" w:hAnsi="Aptos"/>
          <w:i w:val="0"/>
          <w:color w:val="162536"/>
          <w:sz w:val="20"/>
        </w:rPr>
        <w:t>Erhaltung des Durcharbeitens von Aporien als Bedingung späterer Einsicht oder Lösung.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C3-TRN-0016</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Tredennick 1933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C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C3-TRN-0017</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Bonitz 1890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Explizites Gegenmodell</w:t>
      </w:r>
    </w:p>
    <w:p>
      <w:pPr>
        <w:jc w:val="both"/>
      </w:pPr>
      <w:r>
        <w:rPr>
          <w:rFonts w:ascii="Aptos" w:hAnsi="Aptos"/>
          <w:i w:val="0"/>
          <w:color w:val="162536"/>
          <w:sz w:val="20"/>
        </w:rPr>
        <w:t>Derridas Aporie als Nichtweg oder Unmöglichkeit begrenzt die Annahme, jede Aporie sei methodisch lösbar. Das Gegenmodell ist keine Reduktion auf formalen Widerspruch oder rhetorische dubitatio.</w:t>
      </w:r>
    </w:p>
    <w:p>
      <w:pPr>
        <w:pStyle w:val="Heading2"/>
      </w:pPr>
      <w:r>
        <w:t>C6-Befund und Atlasfolge</w:t>
      </w:r>
    </w:p>
    <w:p>
      <w:pPr>
        <w:jc w:val="both"/>
      </w:pPr>
      <w:r>
        <w:rPr>
          <w:rFonts w:ascii="Aptos" w:hAnsi="Aptos"/>
          <w:i w:val="0"/>
          <w:color w:val="162536"/>
          <w:sz w:val="20"/>
        </w:rPr>
        <w:t>Bonitz erhält die methodische Funktion als Zweifel und Lösung deutlicher; Tredennick profiliert pragmatisches Loswerden. Der Atlasanker bleibt im Pilotumfang tragfähig.</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EN2014-Struktur nicht als qualifizierter Cluster bestätigt</w:t>
      </w:r>
    </w:p>
    <w:p>
      <w:pPr>
        <w:spacing w:after="60"/>
        <w:ind w:left="312" w:hanging="312"/>
        <w:jc w:val="both"/>
      </w:pPr>
      <w:r>
        <w:rPr>
          <w:rFonts w:ascii="Aptos" w:hAnsi="Aptos"/>
          <w:b w:val="0"/>
          <w:color w:val="162536"/>
          <w:sz w:val="18"/>
        </w:rPr>
        <w:t xml:space="preserve">•  </w:t>
      </w:r>
      <w:r>
        <w:rPr>
          <w:rFonts w:ascii="Aptos" w:hAnsi="Aptos"/>
          <w:color w:val="162536"/>
          <w:sz w:val="18"/>
        </w:rPr>
        <w:t>Derrida nur auf Schlüsselseiten geprüft</w:t>
      </w:r>
    </w:p>
    <w:p>
      <w:pPr>
        <w:spacing w:after="60"/>
        <w:ind w:left="312" w:hanging="312"/>
        <w:jc w:val="both"/>
      </w:pPr>
      <w:r>
        <w:rPr>
          <w:rFonts w:ascii="Aptos" w:hAnsi="Aptos"/>
          <w:b w:val="0"/>
          <w:color w:val="162536"/>
          <w:sz w:val="18"/>
        </w:rPr>
        <w:t xml:space="preserve">•  </w:t>
      </w:r>
      <w:r>
        <w:rPr>
          <w:rFonts w:ascii="Aptos" w:hAnsi="Aptos"/>
          <w:color w:val="162536"/>
          <w:sz w:val="18"/>
        </w:rPr>
        <w:t>keine Gesamtwertung der Übersetzungen</w:t>
      </w:r>
    </w:p>
    <w:p>
      <w:pPr>
        <w:pStyle w:val="Heading1"/>
      </w:pPr>
      <w:r>
        <w:t>29 CP-009 Gabe Begriffsprofil</w:t>
      </w:r>
    </w:p>
    <w:p>
      <w:pPr>
        <w:spacing w:before="80" w:after="120"/>
      </w:pPr>
      <w:r>
        <w:rPr>
          <w:rFonts w:ascii="Aptos" w:hAnsi="Aptos"/>
          <w:b/>
          <w:color w:val="C79A3B"/>
          <w:sz w:val="17"/>
        </w:rPr>
        <w:t xml:space="preserve">ATLASANKER  </w:t>
      </w:r>
      <w:r>
        <w:rPr>
          <w:rFonts w:ascii="Aptos" w:hAnsi="Aptos"/>
          <w:color w:val="162536"/>
          <w:sz w:val="20"/>
        </w:rPr>
        <w:t>AT-CORE-239-018 · retain_as_is</w:t>
      </w:r>
    </w:p>
    <w:p>
      <w:pPr>
        <w:jc w:val="both"/>
      </w:pPr>
      <w:r>
        <w:rPr>
          <w:rFonts w:ascii="Aptos" w:hAnsi="Aptos"/>
          <w:i w:val="0"/>
          <w:color w:val="162536"/>
          <w:sz w:val="20"/>
        </w:rPr>
        <w:t>Der Fall trennt sozial institutionalisierte Gabe, zeitversetzte Gegengabe und die aporetische Bedingung einer reinen Gabe. Dieselbe Vokabel trägt damit Modelle auf verschiedenen Erklärungsskalen.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Quellenbasis</w:t>
      </w:r>
    </w:p>
    <w:p>
      <w:pPr>
        <w:jc w:val="both"/>
      </w:pPr>
      <w:r>
        <w:rPr>
          <w:rFonts w:ascii="Aptos" w:hAnsi="Aptos"/>
          <w:i w:val="0"/>
          <w:color w:val="162536"/>
          <w:sz w:val="20"/>
        </w:rPr>
        <w:t>Mauss und Malinowski bilden die sozialanthropologische Basis. S4 vergleicht den Eröffnungssatz von Mauss' Essai sur le don in den englischen Übersetzungen von Halls 1990/2002 und Guyer 2016.</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Gabe und Geschenk</w:t>
      </w:r>
    </w:p>
    <w:p>
      <w:pPr>
        <w:spacing w:after="60"/>
        <w:ind w:left="312" w:hanging="312"/>
        <w:jc w:val="both"/>
      </w:pPr>
      <w:r>
        <w:rPr>
          <w:rFonts w:ascii="Aptos" w:hAnsi="Aptos"/>
          <w:b w:val="0"/>
          <w:color w:val="162536"/>
          <w:sz w:val="19"/>
        </w:rPr>
        <w:t xml:space="preserve">•  </w:t>
      </w:r>
      <w:r>
        <w:rPr>
          <w:rFonts w:ascii="Aptos" w:hAnsi="Aptos"/>
          <w:color w:val="162536"/>
          <w:sz w:val="19"/>
        </w:rPr>
        <w:t>Empfang und verpflichtende Rückgabe</w:t>
      </w:r>
    </w:p>
    <w:p>
      <w:pPr>
        <w:spacing w:after="60"/>
        <w:ind w:left="312" w:hanging="312"/>
        <w:jc w:val="both"/>
      </w:pPr>
      <w:r>
        <w:rPr>
          <w:rFonts w:ascii="Aptos" w:hAnsi="Aptos"/>
          <w:b w:val="0"/>
          <w:color w:val="162536"/>
          <w:sz w:val="19"/>
        </w:rPr>
        <w:t xml:space="preserve">•  </w:t>
      </w:r>
      <w:r>
        <w:rPr>
          <w:rFonts w:ascii="Aptos" w:hAnsi="Aptos"/>
          <w:color w:val="162536"/>
          <w:sz w:val="19"/>
        </w:rPr>
        <w:t>soziale Praxis und reine Gabe</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29 CP-009 Übersetzungsvergleich und Gegenmodell</w:t>
      </w:r>
    </w:p>
    <w:p>
      <w:pPr>
        <w:pStyle w:val="Heading2"/>
      </w:pPr>
      <w:r>
        <w:t>Vorfestgelegtes Einzelkriterium</w:t>
      </w:r>
    </w:p>
    <w:p>
      <w:pPr>
        <w:jc w:val="both"/>
      </w:pPr>
      <w:r>
        <w:rPr>
          <w:rFonts w:ascii="Aptos" w:hAnsi="Aptos"/>
          <w:i w:val="0"/>
          <w:color w:val="162536"/>
          <w:sz w:val="20"/>
        </w:rPr>
        <w:t>Explizite Erhaltung der verpflichtenden Erwiderung im isolierten Satz.</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C3-TRN-0018</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Halls 1990 2002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U5</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C3-TRN-0019</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Guyer 2016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U5</w:t>
            </w:r>
          </w:p>
        </w:tc>
      </w:tr>
    </w:tbl>
    <w:p>
      <w:pPr>
        <w:spacing w:after="0"/>
      </w:pPr>
    </w:p>
    <w:p>
      <w:pPr>
        <w:pStyle w:val="Heading2"/>
      </w:pPr>
      <w:r>
        <w:t>Explizites Gegenmodell</w:t>
      </w:r>
    </w:p>
    <w:p>
      <w:pPr>
        <w:jc w:val="both"/>
      </w:pPr>
      <w:r>
        <w:rPr>
          <w:rFonts w:ascii="Aptos" w:hAnsi="Aptos"/>
          <w:i w:val="0"/>
          <w:color w:val="162536"/>
          <w:sz w:val="20"/>
        </w:rPr>
        <w:t>Derridas reine Gabe steht außerhalb von Gegenseitigkeit, Tausch, Gegengabe und Schuld. Sie widerlegt Mauss' empirische Sozialform nicht, sondern setzt eine andere, aporetische Bedingung.</w:t>
      </w:r>
    </w:p>
    <w:p>
      <w:pPr>
        <w:pStyle w:val="Heading2"/>
      </w:pPr>
      <w:r>
        <w:t>C6-Befund und Atlasfolge</w:t>
      </w:r>
    </w:p>
    <w:p>
      <w:pPr>
        <w:jc w:val="both"/>
      </w:pPr>
      <w:r>
        <w:rPr>
          <w:rFonts w:ascii="Aptos" w:hAnsi="Aptos"/>
          <w:i w:val="0"/>
          <w:color w:val="162536"/>
          <w:sz w:val="20"/>
        </w:rPr>
        <w:t>Halls macht die Erwiderung explizit; Guyer nennt im isolierten Satz obligatorisches Geben und Empfangen. Der Atlasanker bleibt tragfähig, sofern die Erklärungsskalen getrennt bleiben.</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Mauss-Ausgabe und moderne Übersetzungen mit Rechtevorbehalt</w:t>
      </w:r>
    </w:p>
    <w:p>
      <w:pPr>
        <w:spacing w:after="60"/>
        <w:ind w:left="312" w:hanging="312"/>
        <w:jc w:val="both"/>
      </w:pPr>
      <w:r>
        <w:rPr>
          <w:rFonts w:ascii="Aptos" w:hAnsi="Aptos"/>
          <w:b w:val="0"/>
          <w:color w:val="162536"/>
          <w:sz w:val="18"/>
        </w:rPr>
        <w:t xml:space="preserve">•  </w:t>
      </w:r>
      <w:r>
        <w:rPr>
          <w:rFonts w:ascii="Aptos" w:hAnsi="Aptos"/>
          <w:color w:val="162536"/>
          <w:sz w:val="18"/>
        </w:rPr>
        <w:t>Mikrotext wird nicht durch Folgesatz rückwirkend repariert</w:t>
      </w:r>
    </w:p>
    <w:p>
      <w:pPr>
        <w:spacing w:after="60"/>
        <w:ind w:left="312" w:hanging="312"/>
        <w:jc w:val="both"/>
      </w:pPr>
      <w:r>
        <w:rPr>
          <w:rFonts w:ascii="Aptos" w:hAnsi="Aptos"/>
          <w:b w:val="0"/>
          <w:color w:val="162536"/>
          <w:sz w:val="18"/>
        </w:rPr>
        <w:t xml:space="preserve">•  </w:t>
      </w:r>
      <w:r>
        <w:rPr>
          <w:rFonts w:ascii="Aptos" w:hAnsi="Aptos"/>
          <w:color w:val="162536"/>
          <w:sz w:val="18"/>
        </w:rPr>
        <w:t>reine Gabe ist kein empirischer Gegenbeleg</w:t>
      </w:r>
    </w:p>
    <w:p>
      <w:pPr>
        <w:pStyle w:val="Heading1"/>
      </w:pPr>
      <w:r>
        <w:t>30 CP-010 Identität Begriffsprofil</w:t>
      </w:r>
    </w:p>
    <w:p>
      <w:pPr>
        <w:spacing w:before="80" w:after="120"/>
      </w:pPr>
      <w:r>
        <w:rPr>
          <w:rFonts w:ascii="Aptos" w:hAnsi="Aptos"/>
          <w:b/>
          <w:color w:val="C79A3B"/>
          <w:sz w:val="17"/>
        </w:rPr>
        <w:t xml:space="preserve">ATLASANKER  </w:t>
      </w:r>
      <w:r>
        <w:rPr>
          <w:rFonts w:ascii="Aptos" w:hAnsi="Aptos"/>
          <w:color w:val="162536"/>
          <w:sz w:val="20"/>
        </w:rPr>
        <w:t>AT-CORE-238-040 · retain_with_research_context</w:t>
      </w:r>
    </w:p>
    <w:p>
      <w:pPr>
        <w:jc w:val="both"/>
      </w:pPr>
      <w:r>
        <w:rPr>
          <w:rFonts w:ascii="Aptos" w:hAnsi="Aptos"/>
          <w:i w:val="0"/>
          <w:color w:val="162536"/>
          <w:sz w:val="20"/>
        </w:rPr>
        <w:t>Identität wird in numerische Identität, personale Kontinuität, Selbstheit und soziale Identitätsproduktion zerlegt. Der Fall verhindert, dass Lockes Bewusstseinskriterium als vollständige Theorie aller Identitätsbegriffe gelesen wird.</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Quellenbasis</w:t>
      </w:r>
    </w:p>
    <w:p>
      <w:pPr>
        <w:jc w:val="both"/>
      </w:pPr>
      <w:r>
        <w:rPr>
          <w:rFonts w:ascii="Aptos" w:hAnsi="Aptos"/>
          <w:i w:val="0"/>
          <w:color w:val="162536"/>
          <w:sz w:val="20"/>
        </w:rPr>
        <w:t>Aristoteles, Locke und Stuart Hall bilden drei getrennte Modelle. S4 vergleicht Locke II.xxvii.9 in Costes französischer Übersetzung von 1700 und Poleys deutscher Übersetzung von 1757.</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numerische Identität</w:t>
      </w:r>
    </w:p>
    <w:p>
      <w:pPr>
        <w:spacing w:after="60"/>
        <w:ind w:left="312" w:hanging="312"/>
        <w:jc w:val="both"/>
      </w:pPr>
      <w:r>
        <w:rPr>
          <w:rFonts w:ascii="Aptos" w:hAnsi="Aptos"/>
          <w:b w:val="0"/>
          <w:color w:val="162536"/>
          <w:sz w:val="19"/>
        </w:rPr>
        <w:t xml:space="preserve">•  </w:t>
      </w:r>
      <w:r>
        <w:rPr>
          <w:rFonts w:ascii="Aptos" w:hAnsi="Aptos"/>
          <w:color w:val="162536"/>
          <w:sz w:val="19"/>
        </w:rPr>
        <w:t>bewusstseinsgebundene personale Kontinuität</w:t>
      </w:r>
    </w:p>
    <w:p>
      <w:pPr>
        <w:spacing w:after="60"/>
        <w:ind w:left="312" w:hanging="312"/>
        <w:jc w:val="both"/>
      </w:pPr>
      <w:r>
        <w:rPr>
          <w:rFonts w:ascii="Aptos" w:hAnsi="Aptos"/>
          <w:b w:val="0"/>
          <w:color w:val="162536"/>
          <w:sz w:val="19"/>
        </w:rPr>
        <w:t xml:space="preserve">•  </w:t>
      </w:r>
      <w:r>
        <w:rPr>
          <w:rFonts w:ascii="Aptos" w:hAnsi="Aptos"/>
          <w:color w:val="162536"/>
          <w:sz w:val="19"/>
        </w:rPr>
        <w:t>Selbstheit und soziale Positionierung</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30 CP-010 Übersetzungsvergleich und Gegenmodell</w:t>
      </w:r>
    </w:p>
    <w:p>
      <w:pPr>
        <w:pStyle w:val="Heading2"/>
      </w:pPr>
      <w:r>
        <w:t>Vorfestgelegtes Einzelkriterium</w:t>
      </w:r>
    </w:p>
    <w:p>
      <w:pPr>
        <w:jc w:val="both"/>
      </w:pPr>
      <w:r>
        <w:rPr>
          <w:rFonts w:ascii="Aptos" w:hAnsi="Aptos"/>
          <w:i w:val="0"/>
          <w:color w:val="162536"/>
          <w:sz w:val="20"/>
        </w:rPr>
        <w:t>Erhaltung der durch Bewusstsein konstituierten und zeitlich begrenzten personalen Identität.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C3-TRN-0020</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Coste 1700 FR</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U3 U7</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C3-TRN-0021</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Poley 1757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U4</w:t>
            </w:r>
          </w:p>
        </w:tc>
      </w:tr>
    </w:tbl>
    <w:p>
      <w:pPr>
        <w:spacing w:after="0"/>
      </w:pPr>
    </w:p>
    <w:p>
      <w:pPr>
        <w:pStyle w:val="Heading2"/>
      </w:pPr>
      <w:r>
        <w:t>Explizites Gegenmodell</w:t>
      </w:r>
    </w:p>
    <w:p>
      <w:pPr>
        <w:jc w:val="both"/>
      </w:pPr>
      <w:r>
        <w:rPr>
          <w:rFonts w:ascii="Aptos" w:hAnsi="Aptos"/>
          <w:i w:val="0"/>
          <w:color w:val="162536"/>
          <w:sz w:val="20"/>
        </w:rPr>
        <w:t>Reid behandelt Erinnerung als Evidenz einer vorausgesetzten numerischen Identität, nicht als deren Konstitution. Sein Transitivitätseinwand trifft eine direkte Gedächtnistheorie, aber nicht zwingend jede differenzierte Locke-Lesart.</w:t>
      </w:r>
    </w:p>
    <w:p>
      <w:pPr>
        <w:pStyle w:val="Heading2"/>
      </w:pPr>
      <w:r>
        <w:t>C6-Befund und Atlasfolge</w:t>
      </w:r>
    </w:p>
    <w:p>
      <w:pPr>
        <w:jc w:val="both"/>
      </w:pPr>
      <w:r>
        <w:rPr>
          <w:rFonts w:ascii="Aptos" w:hAnsi="Aptos"/>
          <w:i w:val="0"/>
          <w:color w:val="162536"/>
          <w:sz w:val="20"/>
        </w:rPr>
        <w:t>Coste markiert mit con-science eine terminologische Prägung; Poleys Einerleyheit ist historisch gebunden. Der Atlasanker bleibt tragfähig, benötigt aber Kontext für die verschiedenen Identitätsachsen.</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Reid widerlegt nicht jede Locke-Interpretation</w:t>
      </w:r>
    </w:p>
    <w:p>
      <w:pPr>
        <w:spacing w:after="60"/>
        <w:ind w:left="312" w:hanging="312"/>
        <w:jc w:val="both"/>
      </w:pPr>
      <w:r>
        <w:rPr>
          <w:rFonts w:ascii="Aptos" w:hAnsi="Aptos"/>
          <w:b w:val="0"/>
          <w:color w:val="162536"/>
          <w:sz w:val="18"/>
        </w:rPr>
        <w:t xml:space="preserve">•  </w:t>
      </w:r>
      <w:r>
        <w:rPr>
          <w:rFonts w:ascii="Aptos" w:hAnsi="Aptos"/>
          <w:color w:val="162536"/>
          <w:sz w:val="18"/>
        </w:rPr>
        <w:t>historische Zielwörter nicht modernisiert</w:t>
      </w:r>
    </w:p>
    <w:p>
      <w:pPr>
        <w:spacing w:after="60"/>
        <w:ind w:left="312" w:hanging="312"/>
        <w:jc w:val="both"/>
      </w:pPr>
      <w:r>
        <w:rPr>
          <w:rFonts w:ascii="Aptos" w:hAnsi="Aptos"/>
          <w:b w:val="0"/>
          <w:color w:val="162536"/>
          <w:sz w:val="18"/>
        </w:rPr>
        <w:t xml:space="preserve">•  </w:t>
      </w:r>
      <w:r>
        <w:rPr>
          <w:rFonts w:ascii="Aptos" w:hAnsi="Aptos"/>
          <w:color w:val="162536"/>
          <w:sz w:val="18"/>
        </w:rPr>
        <w:t>soziale Identitätsproduktion durch Reid nicht geprüft</w:t>
      </w:r>
    </w:p>
    <w:p>
      <w:pPr>
        <w:pStyle w:val="Heading1"/>
      </w:pPr>
      <w:r>
        <w:t>31 CP-011 Ubuntu Begriffsprofil</w:t>
      </w:r>
    </w:p>
    <w:p>
      <w:pPr>
        <w:spacing w:before="80" w:after="120"/>
      </w:pPr>
      <w:r>
        <w:rPr>
          <w:rFonts w:ascii="Aptos" w:hAnsi="Aptos"/>
          <w:b/>
          <w:color w:val="C79A3B"/>
          <w:sz w:val="17"/>
        </w:rPr>
        <w:t xml:space="preserve">ATLASANKER  </w:t>
      </w:r>
      <w:r>
        <w:rPr>
          <w:rFonts w:ascii="Aptos" w:hAnsi="Aptos"/>
          <w:color w:val="162536"/>
          <w:sz w:val="20"/>
        </w:rPr>
        <w:t>AT-119-046 · retain_as_is_with_unresolved_review</w:t>
      </w:r>
    </w:p>
    <w:p>
      <w:pPr>
        <w:jc w:val="both"/>
      </w:pPr>
      <w:r>
        <w:rPr>
          <w:rFonts w:ascii="Aptos" w:hAnsi="Aptos"/>
          <w:i w:val="0"/>
          <w:color w:val="162536"/>
          <w:sz w:val="20"/>
        </w:rPr>
        <w:t>Ubuntu ist in FR2004 und EN2014 nicht als untersuchte Struktur nachgewiesen. Die unabhängige Evidenz trennt Lexem, Nguni-Formreihen, Sprichwort, relationale Personalität und normative Rekonstruktionen.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Quellenbasis</w:t>
      </w:r>
    </w:p>
    <w:p>
      <w:pPr>
        <w:jc w:val="both"/>
      </w:pPr>
      <w:r>
        <w:rPr>
          <w:rFonts w:ascii="Aptos" w:hAnsi="Aptos"/>
          <w:i w:val="0"/>
          <w:color w:val="162536"/>
          <w:sz w:val="20"/>
        </w:rPr>
        <w:t>Historische Lexikografie, der südafrikanische TRC-Bericht, Gade, Dladla, Metz und Eze bilden die Evidenzbasis. Ramose bleibt ein zentraler, aber nicht passagengenau volltextgesicherter Anker.</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ubuntu als Lexem</w:t>
      </w:r>
    </w:p>
    <w:p>
      <w:pPr>
        <w:spacing w:after="60"/>
        <w:ind w:left="312" w:hanging="312"/>
        <w:jc w:val="both"/>
      </w:pPr>
      <w:r>
        <w:rPr>
          <w:rFonts w:ascii="Aptos" w:hAnsi="Aptos"/>
          <w:b w:val="0"/>
          <w:color w:val="162536"/>
          <w:sz w:val="19"/>
        </w:rPr>
        <w:t xml:space="preserve">•  </w:t>
      </w:r>
      <w:r>
        <w:rPr>
          <w:rFonts w:ascii="Aptos" w:hAnsi="Aptos"/>
          <w:color w:val="162536"/>
          <w:sz w:val="19"/>
        </w:rPr>
        <w:t>umuntu ngumuntu ngabantu als Sprichwort</w:t>
      </w:r>
    </w:p>
    <w:p>
      <w:pPr>
        <w:spacing w:after="60"/>
        <w:ind w:left="312" w:hanging="312"/>
        <w:jc w:val="both"/>
      </w:pPr>
      <w:r>
        <w:rPr>
          <w:rFonts w:ascii="Aptos" w:hAnsi="Aptos"/>
          <w:b w:val="0"/>
          <w:color w:val="162536"/>
          <w:sz w:val="19"/>
        </w:rPr>
        <w:t xml:space="preserve">•  </w:t>
      </w:r>
      <w:r>
        <w:rPr>
          <w:rFonts w:ascii="Aptos" w:hAnsi="Aptos"/>
          <w:color w:val="162536"/>
          <w:sz w:val="19"/>
        </w:rPr>
        <w:t>relationale Personalität und Mehrheitsgehorsam</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31 CP-011 Übersetzungsvergleich und Gegenmodell</w:t>
      </w:r>
    </w:p>
    <w:p>
      <w:pPr>
        <w:pStyle w:val="Heading2"/>
      </w:pPr>
      <w:r>
        <w:t>Vorfestgelegtes Einzelkriterium</w:t>
      </w:r>
    </w:p>
    <w:p>
      <w:pPr>
        <w:jc w:val="both"/>
      </w:pPr>
      <w:r>
        <w:rPr>
          <w:rFonts w:ascii="Aptos" w:hAnsi="Aptos"/>
          <w:i w:val="0"/>
          <w:color w:val="162536"/>
          <w:sz w:val="20"/>
        </w:rPr>
        <w:t>Erhaltung des Wechsels von singulärer Person zur relationalen Pluralform.</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C3-TRN-0022</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TRC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X · U5</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C3-TRN-0023</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Eze UNESCO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X · U5</w:t>
            </w:r>
          </w:p>
        </w:tc>
      </w:tr>
    </w:tbl>
    <w:p>
      <w:pPr>
        <w:spacing w:after="0"/>
      </w:pPr>
    </w:p>
    <w:p>
      <w:pPr>
        <w:pStyle w:val="Heading2"/>
      </w:pPr>
      <w:r>
        <w:t>Explizites Gegenmodell</w:t>
      </w:r>
    </w:p>
    <w:p>
      <w:pPr>
        <w:jc w:val="both"/>
      </w:pPr>
      <w:r>
        <w:rPr>
          <w:rFonts w:ascii="Aptos" w:hAnsi="Aptos"/>
          <w:i w:val="0"/>
          <w:color w:val="162536"/>
          <w:sz w:val="20"/>
        </w:rPr>
        <w:t>Eze bestreitet, dass relationale Personalität Gemeinschaft notwendig über individuelle Autonomie stellt. Beziehung umfasst Gleichheit, Einzigartigkeit und Differenz; weder Individuum noch Gemeinschaft besitzt automatisch Vorrang.</w:t>
      </w:r>
    </w:p>
    <w:p>
      <w:pPr>
        <w:pStyle w:val="Heading2"/>
      </w:pPr>
      <w:r>
        <w:t>C6-Befund und Atlasfolge</w:t>
      </w:r>
    </w:p>
    <w:p>
      <w:pPr>
        <w:jc w:val="both"/>
      </w:pPr>
      <w:r>
        <w:rPr>
          <w:rFonts w:ascii="Aptos" w:hAnsi="Aptos"/>
          <w:i w:val="0"/>
          <w:color w:val="162536"/>
          <w:sz w:val="20"/>
        </w:rPr>
        <w:t>Die formale Personenstruktur ist beschreibbar, ihre nga-Semantik und philosophische Tragweite aber nicht hinreichend abgesichert. Beide Wege bleiben X. Der Atlasanker wird nicht geändert und trägt einen ungelösten Reviewvorbehalt.</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kein menschlicher Nguni-Review</w:t>
      </w:r>
    </w:p>
    <w:p>
      <w:pPr>
        <w:spacing w:after="60"/>
        <w:ind w:left="312" w:hanging="312"/>
        <w:jc w:val="both"/>
      </w:pPr>
      <w:r>
        <w:rPr>
          <w:rFonts w:ascii="Aptos" w:hAnsi="Aptos"/>
          <w:b w:val="0"/>
          <w:color w:val="162536"/>
          <w:sz w:val="18"/>
        </w:rPr>
        <w:t xml:space="preserve">•  </w:t>
      </w:r>
      <w:r>
        <w:rPr>
          <w:rFonts w:ascii="Aptos" w:hAnsi="Aptos"/>
          <w:color w:val="162536"/>
          <w:sz w:val="18"/>
        </w:rPr>
        <w:t>kein menschlicher afrikaphilosophischer Review</w:t>
      </w:r>
    </w:p>
    <w:p>
      <w:pPr>
        <w:spacing w:after="60"/>
        <w:ind w:left="312" w:hanging="312"/>
        <w:jc w:val="both"/>
      </w:pPr>
      <w:r>
        <w:rPr>
          <w:rFonts w:ascii="Aptos" w:hAnsi="Aptos"/>
          <w:b w:val="0"/>
          <w:color w:val="162536"/>
          <w:sz w:val="18"/>
        </w:rPr>
        <w:t xml:space="preserve">•  </w:t>
      </w:r>
      <w:r>
        <w:rPr>
          <w:rFonts w:ascii="Aptos" w:hAnsi="Aptos"/>
          <w:color w:val="162536"/>
          <w:sz w:val="18"/>
        </w:rPr>
        <w:t>Ramose 1999 nicht passagengenau volltextgeprüft</w:t>
      </w:r>
    </w:p>
    <w:p>
      <w:pPr>
        <w:pStyle w:val="Heading1"/>
      </w:pPr>
      <w:r>
        <w:t>32 CP-012 Omotenashi Begriffsprofil</w:t>
      </w:r>
    </w:p>
    <w:p>
      <w:pPr>
        <w:spacing w:before="80" w:after="120"/>
      </w:pPr>
      <w:r>
        <w:rPr>
          <w:rFonts w:ascii="Aptos" w:hAnsi="Aptos"/>
          <w:b/>
          <w:color w:val="C79A3B"/>
          <w:sz w:val="17"/>
        </w:rPr>
        <w:t xml:space="preserve">ATLASANKER  </w:t>
      </w:r>
      <w:r>
        <w:rPr>
          <w:rFonts w:ascii="Aptos" w:hAnsi="Aptos"/>
          <w:color w:val="162536"/>
          <w:sz w:val="20"/>
        </w:rPr>
        <w:t>AT-CORE-243-023 · revision_candidate_research_only</w:t>
      </w:r>
    </w:p>
    <w:p>
      <w:pPr>
        <w:jc w:val="both"/>
      </w:pPr>
      <w:r>
        <w:rPr>
          <w:rFonts w:ascii="Aptos" w:hAnsi="Aptos"/>
          <w:i w:val="0"/>
          <w:color w:val="162536"/>
          <w:sz w:val="20"/>
        </w:rPr>
        <w:t>Omotenashi fehlt in beiden geprüften Cassin-Ausgaben. Der Fall trennt historische Praxis, moderne institutionelle Standardisierung, touristische Selbstdarstellung und die Behauptung eines einzigartigen japanischen Einzelworts.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Ebene</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Cassin-Struktur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Fallgruppe</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Quellenbasis</w:t>
      </w:r>
    </w:p>
    <w:p>
      <w:pPr>
        <w:jc w:val="both"/>
      </w:pPr>
      <w:r>
        <w:rPr>
          <w:rFonts w:ascii="Aptos" w:hAnsi="Aptos"/>
          <w:i w:val="0"/>
          <w:color w:val="162536"/>
          <w:sz w:val="20"/>
        </w:rPr>
        <w:t>Die französische IOC-Präsentation Takigawas von 2013 wird mit einer englischen Yokkaichi-Fassung von 2016 und Pellicanòs publizierter englischer Wiedergabe von 2019 verglichen. Ein offizielles stenografisches IOC-Transkript wurde nicht nachgewiesen.</w:t>
      </w:r>
    </w:p>
    <w:p>
      <w:pPr>
        <w:pStyle w:val="Heading2"/>
      </w:pPr>
      <w:r>
        <w:t>Verbindliche Trennungen</w:t>
      </w:r>
    </w:p>
    <w:p>
      <w:pPr>
        <w:spacing w:after="60"/>
        <w:ind w:left="312" w:hanging="312"/>
        <w:jc w:val="both"/>
      </w:pPr>
      <w:r>
        <w:rPr>
          <w:rFonts w:ascii="Aptos" w:hAnsi="Aptos"/>
          <w:b w:val="0"/>
          <w:color w:val="162536"/>
          <w:sz w:val="19"/>
        </w:rPr>
        <w:t xml:space="preserve">•  </w:t>
      </w:r>
      <w:r>
        <w:rPr>
          <w:rFonts w:ascii="Aptos" w:hAnsi="Aptos"/>
          <w:color w:val="162536"/>
          <w:sz w:val="19"/>
        </w:rPr>
        <w:t>Praxis und nationale Repräsentation</w:t>
      </w:r>
    </w:p>
    <w:p>
      <w:pPr>
        <w:spacing w:after="60"/>
        <w:ind w:left="312" w:hanging="312"/>
        <w:jc w:val="both"/>
      </w:pPr>
      <w:r>
        <w:rPr>
          <w:rFonts w:ascii="Aptos" w:hAnsi="Aptos"/>
          <w:b w:val="0"/>
          <w:color w:val="162536"/>
          <w:sz w:val="19"/>
        </w:rPr>
        <w:t xml:space="preserve">•  </w:t>
      </w:r>
      <w:r>
        <w:rPr>
          <w:rFonts w:ascii="Aptos" w:hAnsi="Aptos"/>
          <w:color w:val="162536"/>
          <w:sz w:val="19"/>
        </w:rPr>
        <w:t>Lexikografie und Promotionsrede</w:t>
      </w:r>
    </w:p>
    <w:p>
      <w:pPr>
        <w:spacing w:after="60"/>
        <w:ind w:left="312" w:hanging="312"/>
        <w:jc w:val="both"/>
      </w:pPr>
      <w:r>
        <w:rPr>
          <w:rFonts w:ascii="Aptos" w:hAnsi="Aptos"/>
          <w:b w:val="0"/>
          <w:color w:val="162536"/>
          <w:sz w:val="19"/>
        </w:rPr>
        <w:t xml:space="preserve">•  </w:t>
      </w:r>
      <w:r>
        <w:rPr>
          <w:rFonts w:ascii="Aptos" w:hAnsi="Aptos"/>
          <w:color w:val="162536"/>
          <w:sz w:val="19"/>
        </w:rPr>
        <w:t>historische Variabilität und zeitlose Wesensaussage</w:t>
      </w:r>
    </w:p>
    <w:p>
      <w:pPr>
        <w:spacing w:before="80" w:after="120"/>
      </w:pPr>
      <w:r>
        <w:rPr>
          <w:rFonts w:ascii="Aptos" w:hAnsi="Aptos"/>
          <w:b/>
          <w:color w:val="C79A3B"/>
          <w:sz w:val="17"/>
        </w:rPr>
        <w:t xml:space="preserve">C2-BEDEUTUNG  </w:t>
      </w:r>
      <w:r>
        <w:rPr>
          <w:rFonts w:ascii="Aptos" w:hAnsi="Aptos"/>
          <w:color w:val="162536"/>
          <w:sz w:val="20"/>
        </w:rPr>
        <w:t>Die Cassin-Klassifikation beschreibt die geprüfte Editionsstruktur. Sie entscheidet weder die Sache noch die Atlasdefinition.</w:t>
      </w:r>
    </w:p>
    <w:p>
      <w:pPr>
        <w:pStyle w:val="Heading1"/>
      </w:pPr>
      <w:r>
        <w:t>32 CP-012 Übersetzungsvergleich und Gegenmodell</w:t>
      </w:r>
    </w:p>
    <w:p>
      <w:pPr>
        <w:pStyle w:val="Heading2"/>
      </w:pPr>
      <w:r>
        <w:t>Vorfestgelegtes Einzelkriterium</w:t>
      </w:r>
    </w:p>
    <w:p>
      <w:pPr>
        <w:jc w:val="both"/>
      </w:pPr>
      <w:r>
        <w:rPr>
          <w:rFonts w:ascii="Aptos" w:hAnsi="Aptos"/>
          <w:i w:val="0"/>
          <w:color w:val="162536"/>
          <w:sz w:val="20"/>
        </w:rPr>
        <w:t>Explizite Erhaltung der rhetorischen Behauptung eines einzigen japanischen Wortes.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Weg</w:t>
            </w:r>
          </w:p>
        </w:tc>
        <w:tc>
          <w:tcPr>
            <w:tcW w:type="dxa" w:w="4082"/>
            <w:shd w:fill="0B1D33"/>
            <w:tcMar>
              <w:top w:w="80" w:type="dxa"/>
              <w:start w:w="90" w:type="dxa"/>
              <w:bottom w:w="80" w:type="dxa"/>
              <w:end w:w="90" w:type="dxa"/>
            </w:tcMar>
            <w:vAlign w:val="center"/>
          </w:tcPr>
          <w:p>
            <w:r>
              <w:rPr>
                <w:rFonts w:ascii="Aptos" w:hAnsi="Aptos"/>
                <w:b/>
                <w:color w:val="FDFBF6"/>
                <w:sz w:val="16"/>
              </w:rPr>
              <w:t>Publiziertes Ziel</w:t>
            </w:r>
          </w:p>
        </w:tc>
        <w:tc>
          <w:tcPr>
            <w:tcW w:type="dxa" w:w="2721"/>
            <w:shd w:fill="0B1D33"/>
            <w:tcMar>
              <w:top w:w="80" w:type="dxa"/>
              <w:start w:w="90" w:type="dxa"/>
              <w:bottom w:w="80" w:type="dxa"/>
              <w:end w:w="90" w:type="dxa"/>
            </w:tcMar>
            <w:vAlign w:val="center"/>
          </w:tcPr>
          <w:p>
            <w:r>
              <w:rPr>
                <w:rFonts w:ascii="Aptos" w:hAnsi="Aptos"/>
                <w:b/>
                <w:color w:val="FDFBF6"/>
                <w:sz w:val="16"/>
              </w:rPr>
              <w:t>C4-Endcode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C3-TRN-0024</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Yokkaichi 2016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U5 U7</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C3-TRN-0025</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Pellicanò 2019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U5 U7</w:t>
            </w:r>
          </w:p>
        </w:tc>
      </w:tr>
    </w:tbl>
    <w:p>
      <w:pPr>
        <w:spacing w:after="0"/>
      </w:pPr>
    </w:p>
    <w:p>
      <w:pPr>
        <w:pStyle w:val="Heading2"/>
      </w:pPr>
      <w:r>
        <w:t>Explizites Gegenmodell</w:t>
      </w:r>
    </w:p>
    <w:p>
      <w:pPr>
        <w:jc w:val="both"/>
      </w:pPr>
      <w:r>
        <w:rPr>
          <w:rFonts w:ascii="Aptos" w:hAnsi="Aptos"/>
          <w:i w:val="0"/>
          <w:color w:val="162536"/>
          <w:sz w:val="20"/>
        </w:rPr>
        <w:t>Pellicanò analysiert die Rede als selbstorientalisierende nationale Repräsentation. Die Exklusivität wird in der institutionellen Präsentation konstruiert und nicht als zeitlose lexikalische Tatsache bestätigt.</w:t>
      </w:r>
    </w:p>
    <w:p>
      <w:pPr>
        <w:pStyle w:val="Heading2"/>
      </w:pPr>
      <w:r>
        <w:t>C6-Befund und Atlasfolge</w:t>
      </w:r>
    </w:p>
    <w:p>
      <w:pPr>
        <w:jc w:val="both"/>
      </w:pPr>
      <w:r>
        <w:rPr>
          <w:rFonts w:ascii="Aptos" w:hAnsi="Aptos"/>
          <w:i w:val="0"/>
          <w:color w:val="162536"/>
          <w:sz w:val="20"/>
        </w:rPr>
        <w:t>Eine Fassung erhält die Einwortbehauptung, die andere lässt sie aus. Das prüft nur Rhetorik, nicht japanische Einzigartigkeit. Der Atlasanker ist ein Revisionskandidat wegen seiner historisch zu starren Bedürfnisformel.</w:t>
      </w:r>
    </w:p>
    <w:p>
      <w:pPr>
        <w:pStyle w:val="Heading2"/>
      </w:pPr>
      <w:r>
        <w:t>Offene Grenzen</w:t>
      </w:r>
    </w:p>
    <w:p>
      <w:pPr>
        <w:spacing w:after="60"/>
        <w:ind w:left="312" w:hanging="312"/>
        <w:jc w:val="both"/>
      </w:pPr>
      <w:r>
        <w:rPr>
          <w:rFonts w:ascii="Aptos" w:hAnsi="Aptos"/>
          <w:b w:val="0"/>
          <w:color w:val="162536"/>
          <w:sz w:val="18"/>
        </w:rPr>
        <w:t xml:space="preserve">•  </w:t>
      </w:r>
      <w:r>
        <w:rPr>
          <w:rFonts w:ascii="Aptos" w:hAnsi="Aptos"/>
          <w:color w:val="162536"/>
          <w:sz w:val="18"/>
        </w:rPr>
        <w:t>kein offizielles stenografisches IOC-Transkript</w:t>
      </w:r>
    </w:p>
    <w:p>
      <w:pPr>
        <w:spacing w:after="60"/>
        <w:ind w:left="312" w:hanging="312"/>
        <w:jc w:val="both"/>
      </w:pPr>
      <w:r>
        <w:rPr>
          <w:rFonts w:ascii="Aptos" w:hAnsi="Aptos"/>
          <w:b w:val="0"/>
          <w:color w:val="162536"/>
          <w:sz w:val="18"/>
        </w:rPr>
        <w:t xml:space="preserve">•  </w:t>
      </w:r>
      <w:r>
        <w:rPr>
          <w:rFonts w:ascii="Aptos" w:hAnsi="Aptos"/>
          <w:color w:val="162536"/>
          <w:sz w:val="18"/>
        </w:rPr>
        <w:t>kein menschlicher Japanisch- oder kulturwissenschaftlicher Review</w:t>
      </w:r>
    </w:p>
    <w:p>
      <w:pPr>
        <w:spacing w:after="60"/>
        <w:ind w:left="312" w:hanging="312"/>
        <w:jc w:val="both"/>
      </w:pPr>
      <w:r>
        <w:rPr>
          <w:rFonts w:ascii="Aptos" w:hAnsi="Aptos"/>
          <w:b w:val="0"/>
          <w:color w:val="162536"/>
          <w:sz w:val="18"/>
        </w:rPr>
        <w:t xml:space="preserve">•  </w:t>
      </w:r>
      <w:r>
        <w:rPr>
          <w:rFonts w:ascii="Aptos" w:hAnsi="Aptos"/>
          <w:color w:val="162536"/>
          <w:sz w:val="18"/>
        </w:rPr>
        <w:t>keine Behauptung lexikalischer Einzigartigkeit</w:t>
      </w:r>
    </w:p>
    <w:p>
      <w:pPr>
        <w:pStyle w:val="Heading1"/>
      </w:pPr>
      <w:r>
        <w:t>33 Vergleich der zwölf Fälle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964"/>
            <w:shd w:fill="0B1D33"/>
            <w:tcMar>
              <w:top w:w="80" w:type="dxa"/>
              <w:start w:w="90" w:type="dxa"/>
              <w:bottom w:w="80" w:type="dxa"/>
              <w:end w:w="90" w:type="dxa"/>
            </w:tcMar>
            <w:vAlign w:val="center"/>
          </w:tcPr>
          <w:p>
            <w:r>
              <w:rPr>
                <w:rFonts w:ascii="Aptos" w:hAnsi="Aptos"/>
                <w:b/>
                <w:color w:val="FDFBF6"/>
                <w:sz w:val="13"/>
              </w:rPr>
              <w:t>Fall</w:t>
            </w:r>
          </w:p>
        </w:tc>
        <w:tc>
          <w:tcPr>
            <w:tcW w:type="dxa" w:w="1814"/>
            <w:shd w:fill="0B1D33"/>
            <w:tcMar>
              <w:top w:w="80" w:type="dxa"/>
              <w:start w:w="90" w:type="dxa"/>
              <w:bottom w:w="80" w:type="dxa"/>
              <w:end w:w="90" w:type="dxa"/>
            </w:tcMar>
            <w:vAlign w:val="center"/>
          </w:tcPr>
          <w:p>
            <w:r>
              <w:rPr>
                <w:rFonts w:ascii="Aptos" w:hAnsi="Aptos"/>
                <w:b/>
                <w:color w:val="FDFBF6"/>
                <w:sz w:val="13"/>
              </w:rPr>
              <w:t>Begriff</w:t>
            </w:r>
          </w:p>
        </w:tc>
        <w:tc>
          <w:tcPr>
            <w:tcW w:type="dxa" w:w="2324"/>
            <w:shd w:fill="0B1D33"/>
            <w:tcMar>
              <w:top w:w="80" w:type="dxa"/>
              <w:start w:w="90" w:type="dxa"/>
              <w:bottom w:w="80" w:type="dxa"/>
              <w:end w:w="90" w:type="dxa"/>
            </w:tcMar>
            <w:vAlign w:val="center"/>
          </w:tcPr>
          <w:p>
            <w:r>
              <w:rPr>
                <w:rFonts w:ascii="Aptos" w:hAnsi="Aptos"/>
                <w:b/>
                <w:color w:val="FDFBF6"/>
                <w:sz w:val="13"/>
              </w:rPr>
              <w:t>FR2004 / EN2014</w:t>
            </w:r>
          </w:p>
        </w:tc>
        <w:tc>
          <w:tcPr>
            <w:tcW w:type="dxa" w:w="1587"/>
            <w:shd w:fill="0B1D33"/>
            <w:tcMar>
              <w:top w:w="80" w:type="dxa"/>
              <w:start w:w="90" w:type="dxa"/>
              <w:bottom w:w="80" w:type="dxa"/>
              <w:end w:w="90" w:type="dxa"/>
            </w:tcMar>
            <w:vAlign w:val="center"/>
          </w:tcPr>
          <w:p>
            <w:r>
              <w:rPr>
                <w:rFonts w:ascii="Aptos" w:hAnsi="Aptos"/>
                <w:b/>
                <w:color w:val="FDFBF6"/>
                <w:sz w:val="13"/>
              </w:rPr>
              <w:t>C4</w:t>
            </w:r>
          </w:p>
        </w:tc>
        <w:tc>
          <w:tcPr>
            <w:tcW w:type="dxa" w:w="2154"/>
            <w:shd w:fill="0B1D33"/>
            <w:tcMar>
              <w:top w:w="80" w:type="dxa"/>
              <w:start w:w="90" w:type="dxa"/>
              <w:bottom w:w="80" w:type="dxa"/>
              <w:end w:w="90" w:type="dxa"/>
            </w:tcMar>
            <w:vAlign w:val="center"/>
          </w:tcPr>
          <w:p>
            <w:r>
              <w:rPr>
                <w:rFonts w:ascii="Aptos" w:hAnsi="Aptos"/>
                <w:b/>
                <w:color w:val="FDFBF6"/>
                <w:sz w:val="13"/>
              </w:rPr>
              <w:t>Atlasfolge</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CP-001</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Übersetzung</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B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CP-002</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Unübersetzbarkeit</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A · U4 / C · U3</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CP-003</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Äquivalenz</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CP-004</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Falscher Freund</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U4 / C · U4 U6</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CP-005</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Hermeneutik</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U6 / B · U6</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CP-006</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Intentionalität</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U3 U6 / B · U2 U3</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CP-007</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Doxa</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B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CP-008</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Aporie</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unverified_present_not_cluster_qualified</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C · U2 / B · U2</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CP-009</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Gabe</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U5 / C · U5</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CP-010</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Identität</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U3 U7 / B · U4</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CP-011</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Ubuntu</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absent_from_checked_editions / absent_from_checked_editions</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X · U5 / X · U5</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retain_as_is_with_unresolved_review</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CP-012</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Omotenashi</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absent_from_checked_editions / absent_from_checked_editions</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U5 U7 / C · U5 U7</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bl>
    <w:p>
      <w:pPr>
        <w:spacing w:after="0"/>
      </w:pPr>
    </w:p>
    <w:p>
      <w:pPr>
        <w:jc w:val="both"/>
      </w:pPr>
      <w:r>
        <w:rPr>
          <w:rFonts w:ascii="Aptos" w:hAnsi="Aptos"/>
          <w:i w:val="0"/>
          <w:color w:val="162536"/>
          <w:sz w:val="20"/>
        </w:rPr>
        <w:t>Die Tabelle ist eine Navigationsmatrix. Die ausführlichen Begründungen und Reservate stehen in den Falldossiers und im Datensatz.</w:t>
      </w:r>
    </w:p>
    <w:p>
      <w:pPr>
        <w:pStyle w:val="Heading1"/>
      </w:pPr>
      <w:r>
        <w:t>34 Verteilung der Differenzmechanismen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814"/>
            <w:shd w:fill="0B1D33"/>
            <w:tcMar>
              <w:top w:w="80" w:type="dxa"/>
              <w:start w:w="90" w:type="dxa"/>
              <w:bottom w:w="80" w:type="dxa"/>
              <w:end w:w="90" w:type="dxa"/>
            </w:tcMar>
            <w:vAlign w:val="center"/>
          </w:tcPr>
          <w:p>
            <w:r>
              <w:rPr>
                <w:rFonts w:ascii="Aptos" w:hAnsi="Aptos"/>
                <w:b/>
                <w:color w:val="FDFBF6"/>
                <w:sz w:val="16"/>
              </w:rPr>
              <w:t>Mechanismus</w:t>
            </w:r>
          </w:p>
        </w:tc>
        <w:tc>
          <w:tcPr>
            <w:tcW w:type="dxa" w:w="1134"/>
            <w:shd w:fill="0B1D33"/>
            <w:tcMar>
              <w:top w:w="80" w:type="dxa"/>
              <w:start w:w="90" w:type="dxa"/>
              <w:bottom w:w="80" w:type="dxa"/>
              <w:end w:w="90" w:type="dxa"/>
            </w:tcMar>
            <w:vAlign w:val="center"/>
          </w:tcPr>
          <w:p>
            <w:r>
              <w:rPr>
                <w:rFonts w:ascii="Aptos" w:hAnsi="Aptos"/>
                <w:b/>
                <w:color w:val="FDFBF6"/>
                <w:sz w:val="16"/>
              </w:rPr>
              <w:t>Wege</w:t>
            </w:r>
          </w:p>
        </w:tc>
        <w:tc>
          <w:tcPr>
            <w:tcW w:type="dxa" w:w="5896"/>
            <w:shd w:fill="0B1D33"/>
            <w:tcMar>
              <w:top w:w="80" w:type="dxa"/>
              <w:start w:w="90" w:type="dxa"/>
              <w:bottom w:w="80" w:type="dxa"/>
              <w:end w:w="90" w:type="dxa"/>
            </w:tcMar>
            <w:vAlign w:val="center"/>
          </w:tcPr>
          <w:p>
            <w:r>
              <w:rPr>
                <w:rFonts w:ascii="Aptos" w:hAnsi="Aptos"/>
                <w:b/>
                <w:color w:val="FDFBF6"/>
                <w:sz w:val="16"/>
              </w:rPr>
              <w:t>Beobachtung</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U1</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0</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keine isolierte lexikalische Lücke als Endmechanismus</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U2</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9</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häufigste Form kontextabhängiger Umverteilung</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U3</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Wortbildung und Namensdeutung</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U4</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historische Sedimentierung</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U5</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6</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institutionelle und soziale Einbettung</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U6</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diachrone oder fachliche Verschiebung</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U7</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3</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Prägung und mehrstufige Weitergabe</w:t>
            </w:r>
          </w:p>
        </w:tc>
      </w:tr>
    </w:tbl>
    <w:p>
      <w:pPr>
        <w:spacing w:after="0"/>
      </w:pPr>
    </w:p>
    <w:p>
      <w:pPr>
        <w:jc w:val="both"/>
      </w:pPr>
      <w:r>
        <w:rPr>
          <w:rFonts w:ascii="Aptos" w:hAnsi="Aptos"/>
          <w:i w:val="0"/>
          <w:color w:val="162536"/>
          <w:sz w:val="20"/>
        </w:rPr>
        <w:t>Die Summe übersteigt 24, weil einzelne Wege mehrere belegte Mechanismen besitzen. Die Tabelle beschreibt Vorkommen, nicht kausale Stärke.</w:t>
      </w:r>
    </w:p>
    <w:p>
      <w:pPr>
        <w:pStyle w:val="Heading1"/>
      </w:pPr>
      <w:r>
        <w:t>35 Cassin und unabhängige Evidenz</w:t>
      </w:r>
    </w:p>
    <w:p>
      <w:pPr>
        <w:jc w:val="both"/>
      </w:pPr>
      <w:r>
        <w:rPr>
          <w:rFonts w:ascii="Aptos" w:hAnsi="Aptos"/>
          <w:i w:val="0"/>
          <w:color w:val="162536"/>
          <w:sz w:val="20"/>
        </w:rPr>
        <w:t>Cassin ist im Pilot ein produktiver Problematlas, aber kein vollständiges Inventar der Atlasbegriffe. Haupteinträge erzeugen keine automatische Begriffsidentität; Querverweise sind keine schwächeren Wahrheiten; Cluster zeigen verteilte Bearbeitung; Abwesenheit beschreibt die Reichweite der geprüften Ausgaben.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928"/>
            <w:shd w:fill="0B1D33"/>
            <w:tcMar>
              <w:top w:w="80" w:type="dxa"/>
              <w:start w:w="90" w:type="dxa"/>
              <w:bottom w:w="80" w:type="dxa"/>
              <w:end w:w="90" w:type="dxa"/>
            </w:tcMar>
            <w:vAlign w:val="center"/>
          </w:tcPr>
          <w:p>
            <w:r>
              <w:rPr>
                <w:rFonts w:ascii="Aptos" w:hAnsi="Aptos"/>
                <w:b/>
                <w:color w:val="FDFBF6"/>
                <w:sz w:val="16"/>
              </w:rPr>
              <w:t>Divergenzfall</w:t>
            </w:r>
          </w:p>
        </w:tc>
        <w:tc>
          <w:tcPr>
            <w:tcW w:type="dxa" w:w="6917"/>
            <w:shd w:fill="0B1D33"/>
            <w:tcMar>
              <w:top w:w="80" w:type="dxa"/>
              <w:start w:w="90" w:type="dxa"/>
              <w:bottom w:w="80" w:type="dxa"/>
              <w:end w:w="90" w:type="dxa"/>
            </w:tcMar>
            <w:vAlign w:val="center"/>
          </w:tcPr>
          <w:p>
            <w:r>
              <w:rPr>
                <w:rFonts w:ascii="Aptos" w:hAnsi="Aptos"/>
                <w:b/>
                <w:color w:val="FDFBF6"/>
                <w:sz w:val="16"/>
              </w:rPr>
              <w:t>Grund</w:t>
            </w:r>
          </w:p>
        </w:tc>
      </w:tr>
      <w:tr>
        <w:tc>
          <w:tcPr>
            <w:tcW w:type="dxa" w:w="1928"/>
            <w:shd w:fill="F1EDE3"/>
            <w:tcMar>
              <w:top w:w="80" w:type="dxa"/>
              <w:start w:w="90" w:type="dxa"/>
              <w:bottom w:w="80" w:type="dxa"/>
              <w:end w:w="90" w:type="dxa"/>
            </w:tcMar>
            <w:vAlign w:val="center"/>
          </w:tcPr>
          <w:p>
            <w:pPr>
              <w:jc w:val="left"/>
            </w:pPr>
            <w:r>
              <w:rPr>
                <w:rFonts w:ascii="Aptos" w:hAnsi="Aptos"/>
                <w:b/>
                <w:color w:val="162536"/>
                <w:sz w:val="16"/>
              </w:rPr>
              <w:t>CP-004</w:t>
            </w:r>
          </w:p>
        </w:tc>
        <w:tc>
          <w:tcPr>
            <w:tcW w:type="dxa" w:w="6917"/>
            <w:shd w:fill="F1EDE3"/>
            <w:tcMar>
              <w:top w:w="80" w:type="dxa"/>
              <w:start w:w="90" w:type="dxa"/>
              <w:bottom w:w="80" w:type="dxa"/>
              <w:end w:w="90" w:type="dxa"/>
            </w:tcMar>
            <w:vAlign w:val="center"/>
          </w:tcPr>
          <w:p>
            <w:pPr>
              <w:jc w:val="left"/>
            </w:pPr>
            <w:r>
              <w:rPr>
                <w:rFonts w:ascii="Aptos" w:hAnsi="Aptos"/>
                <w:b w:val="0"/>
                <w:color w:val="162536"/>
                <w:sz w:val="16"/>
              </w:rPr>
              <w:t>historischer Topos und moderne Klischeelesart</w:t>
            </w:r>
          </w:p>
        </w:tc>
      </w:tr>
      <w:tr>
        <w:tc>
          <w:tcPr>
            <w:tcW w:type="dxa" w:w="1928"/>
            <w:shd w:fill="FAF8F3"/>
            <w:tcMar>
              <w:top w:w="80" w:type="dxa"/>
              <w:start w:w="90" w:type="dxa"/>
              <w:bottom w:w="80" w:type="dxa"/>
              <w:end w:w="90" w:type="dxa"/>
            </w:tcMar>
            <w:vAlign w:val="center"/>
          </w:tcPr>
          <w:p>
            <w:pPr>
              <w:jc w:val="left"/>
            </w:pPr>
            <w:r>
              <w:rPr>
                <w:rFonts w:ascii="Aptos" w:hAnsi="Aptos"/>
                <w:b/>
                <w:color w:val="162536"/>
                <w:sz w:val="16"/>
              </w:rPr>
              <w:t>CP-008</w:t>
            </w:r>
          </w:p>
        </w:tc>
        <w:tc>
          <w:tcPr>
            <w:tcW w:type="dxa" w:w="6917"/>
            <w:shd w:fill="FAF8F3"/>
            <w:tcMar>
              <w:top w:w="80" w:type="dxa"/>
              <w:start w:w="90" w:type="dxa"/>
              <w:bottom w:w="80" w:type="dxa"/>
              <w:end w:w="90" w:type="dxa"/>
            </w:tcMar>
            <w:vAlign w:val="center"/>
          </w:tcPr>
          <w:p>
            <w:pPr>
              <w:jc w:val="left"/>
            </w:pPr>
            <w:r>
              <w:rPr>
                <w:rFonts w:ascii="Aptos" w:hAnsi="Aptos"/>
                <w:b w:val="0"/>
                <w:color w:val="162536"/>
                <w:sz w:val="16"/>
              </w:rPr>
              <w:t>Strukturdifferenz zwischen FR2004 und EN2014</w:t>
            </w:r>
          </w:p>
        </w:tc>
      </w:tr>
      <w:tr>
        <w:tc>
          <w:tcPr>
            <w:tcW w:type="dxa" w:w="1928"/>
            <w:shd w:fill="F1EDE3"/>
            <w:tcMar>
              <w:top w:w="80" w:type="dxa"/>
              <w:start w:w="90" w:type="dxa"/>
              <w:bottom w:w="80" w:type="dxa"/>
              <w:end w:w="90" w:type="dxa"/>
            </w:tcMar>
            <w:vAlign w:val="center"/>
          </w:tcPr>
          <w:p>
            <w:pPr>
              <w:jc w:val="left"/>
            </w:pPr>
            <w:r>
              <w:rPr>
                <w:rFonts w:ascii="Aptos" w:hAnsi="Aptos"/>
                <w:b/>
                <w:color w:val="162536"/>
                <w:sz w:val="16"/>
              </w:rPr>
              <w:t>CP-011</w:t>
            </w:r>
          </w:p>
        </w:tc>
        <w:tc>
          <w:tcPr>
            <w:tcW w:type="dxa" w:w="6917"/>
            <w:shd w:fill="F1EDE3"/>
            <w:tcMar>
              <w:top w:w="80" w:type="dxa"/>
              <w:start w:w="90" w:type="dxa"/>
              <w:bottom w:w="80" w:type="dxa"/>
              <w:end w:w="90" w:type="dxa"/>
            </w:tcMar>
            <w:vAlign w:val="center"/>
          </w:tcPr>
          <w:p>
            <w:pPr>
              <w:jc w:val="left"/>
            </w:pPr>
            <w:r>
              <w:rPr>
                <w:rFonts w:ascii="Aptos" w:hAnsi="Aptos"/>
                <w:b w:val="0"/>
                <w:color w:val="162536"/>
                <w:sz w:val="16"/>
              </w:rPr>
              <w:t>Korpusabwesenheit bei starker unabhängiger Evidenz und offenem Review</w:t>
            </w:r>
          </w:p>
        </w:tc>
      </w:tr>
      <w:tr>
        <w:tc>
          <w:tcPr>
            <w:tcW w:type="dxa" w:w="1928"/>
            <w:shd w:fill="FAF8F3"/>
            <w:tcMar>
              <w:top w:w="80" w:type="dxa"/>
              <w:start w:w="90" w:type="dxa"/>
              <w:bottom w:w="80" w:type="dxa"/>
              <w:end w:w="90" w:type="dxa"/>
            </w:tcMar>
            <w:vAlign w:val="center"/>
          </w:tcPr>
          <w:p>
            <w:pPr>
              <w:jc w:val="left"/>
            </w:pPr>
            <w:r>
              <w:rPr>
                <w:rFonts w:ascii="Aptos" w:hAnsi="Aptos"/>
                <w:b/>
                <w:color w:val="162536"/>
                <w:sz w:val="16"/>
              </w:rPr>
              <w:t>CP-012</w:t>
            </w:r>
          </w:p>
        </w:tc>
        <w:tc>
          <w:tcPr>
            <w:tcW w:type="dxa" w:w="6917"/>
            <w:shd w:fill="FAF8F3"/>
            <w:tcMar>
              <w:top w:w="80" w:type="dxa"/>
              <w:start w:w="90" w:type="dxa"/>
              <w:bottom w:w="80" w:type="dxa"/>
              <w:end w:w="90" w:type="dxa"/>
            </w:tcMar>
            <w:vAlign w:val="center"/>
          </w:tcPr>
          <w:p>
            <w:pPr>
              <w:jc w:val="left"/>
            </w:pPr>
            <w:r>
              <w:rPr>
                <w:rFonts w:ascii="Aptos" w:hAnsi="Aptos"/>
                <w:b w:val="0"/>
                <w:color w:val="162536"/>
                <w:sz w:val="16"/>
              </w:rPr>
              <w:t>Korpusabwesenheit bei institutionell konstruierter Einwortbehauptung</w:t>
            </w:r>
          </w:p>
        </w:tc>
      </w:tr>
    </w:tbl>
    <w:p>
      <w:pPr>
        <w:spacing w:after="0"/>
      </w:pPr>
    </w:p>
    <w:p>
      <w:pPr>
        <w:pStyle w:val="Heading1"/>
      </w:pPr>
      <w:r>
        <w:t>36 Atlasanker als Forschungsbefund</w:t>
      </w:r>
    </w:p>
    <w:p>
      <w:pPr>
        <w:spacing w:before="80" w:after="40"/>
        <w:jc w:val="center"/>
      </w:pPr>
      <w:r>
        <w:drawing>
          <wp:inline xmlns:a="http://schemas.openxmlformats.org/drawingml/2006/main" xmlns:pic="http://schemas.openxmlformats.org/drawingml/2006/picture">
            <wp:extent cx="5544000" cy="2956800"/>
            <wp:docPr id="6" name="Picture 6" title="Ringdiagramm der Atlasanker-Einstufungen" descr="Ringdiagramm der Atlasanker-Einstufungen"/>
            <wp:cNvGraphicFramePr>
              <a:graphicFrameLocks noChangeAspect="1"/>
            </wp:cNvGraphicFramePr>
            <a:graphic>
              <a:graphicData uri="http://schemas.openxmlformats.org/drawingml/2006/picture">
                <pic:pic>
                  <pic:nvPicPr>
                    <pic:cNvPr id="0" name="cassin-anchors-de.png"/>
                    <pic:cNvPicPr/>
                  </pic:nvPicPr>
                  <pic:blipFill>
                    <a:blip r:embed="rId25"/>
                    <a:stretch>
                      <a:fillRect/>
                    </a:stretch>
                  </pic:blipFill>
                  <pic:spPr>
                    <a:xfrm>
                      <a:off x="0" y="0"/>
                      <a:ext cx="5544000" cy="2956800"/>
                    </a:xfrm>
                    <a:prstGeom prst="rect"/>
                  </pic:spPr>
                </pic:pic>
              </a:graphicData>
            </a:graphic>
          </wp:inline>
        </w:drawing>
      </w:r>
    </w:p>
    <w:p>
      <w:pPr>
        <w:spacing w:after="80"/>
        <w:jc w:val="center"/>
      </w:pPr>
      <w:r>
        <w:rPr>
          <w:rFonts w:ascii="Aptos" w:hAnsi="Aptos"/>
          <w:color w:val="5D6B75"/>
          <w:sz w:val="15"/>
        </w:rPr>
        <w:t>Abb. 5 · Fünf Anker bleiben, vier werden kontextualisiert, drei sind Revisionskandidaten.</w:t>
      </w:r>
    </w:p>
    <w:p>
      <w:pPr>
        <w:jc w:val="both"/>
      </w:pPr>
      <w:r>
        <w:rPr>
          <w:rFonts w:ascii="Aptos" w:hAnsi="Aptos"/>
          <w:i w:val="0"/>
          <w:color w:val="162536"/>
          <w:sz w:val="20"/>
        </w:rPr>
        <w:t>Die drei Revisionskandidaten sind Intentionalität, Doxa und Omotenashi. Die vier Kontextfälle sind Übersetzung, Falscher Freund, Hermeneutik und Identität. Diese Einteilung erzeugt keinen Änderungstext und keine Integrationspakete.</w:t>
      </w:r>
    </w:p>
    <w:p>
      <w:pPr>
        <w:pStyle w:val="Heading1"/>
      </w:pPr>
      <w:r>
        <w:t>37 Grenzen und Pflichtvorbehalte</w:t>
      </w:r>
    </w:p>
    <w:p>
      <w:pPr>
        <w:spacing w:after="60"/>
        <w:ind w:left="312" w:hanging="312"/>
        <w:jc w:val="both"/>
      </w:pPr>
      <w:r>
        <w:rPr>
          <w:rFonts w:ascii="Aptos" w:hAnsi="Aptos"/>
          <w:b/>
          <w:color w:val="162536"/>
          <w:sz w:val="18"/>
        </w:rPr>
        <w:t xml:space="preserve">1.  </w:t>
      </w:r>
      <w:r>
        <w:rPr>
          <w:rFonts w:ascii="Aptos" w:hAnsi="Aptos"/>
          <w:color w:val="162536"/>
          <w:sz w:val="18"/>
        </w:rPr>
        <w:t>Keine menschlichen, muttersprachlichen, kulturinternen oder persönlich unabhängigen Reviews wurden durchgeführt.</w:t>
      </w:r>
    </w:p>
    <w:p>
      <w:pPr>
        <w:spacing w:after="60"/>
        <w:ind w:left="312" w:hanging="312"/>
        <w:jc w:val="both"/>
      </w:pPr>
      <w:r>
        <w:rPr>
          <w:rFonts w:ascii="Aptos" w:hAnsi="Aptos"/>
          <w:b/>
          <w:color w:val="162536"/>
          <w:sz w:val="18"/>
        </w:rPr>
        <w:t xml:space="preserve">2.  </w:t>
      </w:r>
      <w:r>
        <w:rPr>
          <w:rFonts w:ascii="Aptos" w:hAnsi="Aptos"/>
          <w:color w:val="162536"/>
          <w:sz w:val="18"/>
        </w:rPr>
        <w:t>CP-011 bleibt für Nguni-Semantik und afrikaphilosophische Beurteilung offen; beide Wege bleiben X/U5.</w:t>
      </w:r>
    </w:p>
    <w:p>
      <w:pPr>
        <w:spacing w:after="60"/>
        <w:ind w:left="312" w:hanging="312"/>
        <w:jc w:val="both"/>
      </w:pPr>
      <w:r>
        <w:rPr>
          <w:rFonts w:ascii="Aptos" w:hAnsi="Aptos"/>
          <w:b/>
          <w:color w:val="162536"/>
          <w:sz w:val="18"/>
        </w:rPr>
        <w:t xml:space="preserve">3.  </w:t>
      </w:r>
      <w:r>
        <w:rPr>
          <w:rFonts w:ascii="Aptos" w:hAnsi="Aptos"/>
          <w:color w:val="162536"/>
          <w:sz w:val="18"/>
        </w:rPr>
        <w:t>CP-012 prüft nur französisch-englische Präsentationsrhetorik; japanische Einzigartigkeit ist nicht belegt.</w:t>
      </w:r>
    </w:p>
    <w:p>
      <w:pPr>
        <w:spacing w:after="60"/>
        <w:ind w:left="312" w:hanging="312"/>
        <w:jc w:val="both"/>
      </w:pPr>
      <w:r>
        <w:rPr>
          <w:rFonts w:ascii="Aptos" w:hAnsi="Aptos"/>
          <w:b/>
          <w:color w:val="162536"/>
          <w:sz w:val="18"/>
        </w:rPr>
        <w:t xml:space="preserve">4.  </w:t>
      </w:r>
      <w:r>
        <w:rPr>
          <w:rFonts w:ascii="Aptos" w:hAnsi="Aptos"/>
          <w:color w:val="162536"/>
          <w:sz w:val="18"/>
        </w:rPr>
        <w:t>FR2019 ist nicht Teil des digitalen Vergleichskorpus.</w:t>
      </w:r>
    </w:p>
    <w:p>
      <w:pPr>
        <w:spacing w:after="60"/>
        <w:ind w:left="312" w:hanging="312"/>
        <w:jc w:val="both"/>
      </w:pPr>
      <w:r>
        <w:rPr>
          <w:rFonts w:ascii="Aptos" w:hAnsi="Aptos"/>
          <w:b/>
          <w:color w:val="162536"/>
          <w:sz w:val="18"/>
        </w:rPr>
        <w:t xml:space="preserve">5.  </w:t>
      </w:r>
      <w:r>
        <w:rPr>
          <w:rFonts w:ascii="Aptos" w:hAnsi="Aptos"/>
          <w:color w:val="162536"/>
          <w:sz w:val="18"/>
        </w:rPr>
        <w:t>Rechte-, Zugangs-, Editions- und Faksimilevorbehalte bleiben quellenspezifisch bestehen.</w:t>
      </w:r>
    </w:p>
    <w:p>
      <w:pPr>
        <w:spacing w:after="60"/>
        <w:ind w:left="312" w:hanging="312"/>
        <w:jc w:val="both"/>
      </w:pPr>
      <w:r>
        <w:rPr>
          <w:rFonts w:ascii="Aptos" w:hAnsi="Aptos"/>
          <w:b/>
          <w:color w:val="162536"/>
          <w:sz w:val="18"/>
        </w:rPr>
        <w:t xml:space="preserve">6.  </w:t>
      </w:r>
      <w:r>
        <w:rPr>
          <w:rFonts w:ascii="Aptos" w:hAnsi="Aptos"/>
          <w:color w:val="162536"/>
          <w:sz w:val="18"/>
        </w:rPr>
        <w:t>Der dokumentierte öffentliche Atlas-Mismatch 1.028/1.024 bleibt eine getrennte Sperre für Integration und Publikation.</w:t>
      </w:r>
    </w:p>
    <w:p>
      <w:pPr>
        <w:spacing w:after="60"/>
        <w:ind w:left="312" w:hanging="312"/>
        <w:jc w:val="both"/>
      </w:pPr>
      <w:r>
        <w:rPr>
          <w:rFonts w:ascii="Aptos" w:hAnsi="Aptos"/>
          <w:b/>
          <w:color w:val="162536"/>
          <w:sz w:val="18"/>
        </w:rPr>
        <w:t xml:space="preserve">7.  </w:t>
      </w:r>
      <w:r>
        <w:rPr>
          <w:rFonts w:ascii="Aptos" w:hAnsi="Aptos"/>
          <w:color w:val="162536"/>
          <w:sz w:val="18"/>
        </w:rPr>
        <w:t>H6 wurde nicht getestet.</w:t>
      </w:r>
    </w:p>
    <w:p>
      <w:pPr>
        <w:pStyle w:val="Heading1"/>
      </w:pPr>
      <w:r>
        <w:t>Methodenanhang A Arbeitsablauf</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6"/>
              </w:rPr>
              <w:t>Schritt</w:t>
            </w:r>
          </w:p>
        </w:tc>
        <w:tc>
          <w:tcPr>
            <w:tcW w:type="dxa" w:w="3798"/>
            <w:shd w:fill="0B1D33"/>
            <w:tcMar>
              <w:top w:w="80" w:type="dxa"/>
              <w:start w:w="90" w:type="dxa"/>
              <w:bottom w:w="80" w:type="dxa"/>
              <w:end w:w="90" w:type="dxa"/>
            </w:tcMar>
            <w:vAlign w:val="center"/>
          </w:tcPr>
          <w:p>
            <w:r>
              <w:rPr>
                <w:rFonts w:ascii="Aptos" w:hAnsi="Aptos"/>
                <w:b/>
                <w:color w:val="FDFBF6"/>
                <w:sz w:val="16"/>
              </w:rPr>
              <w:t>Eingabe</w:t>
            </w:r>
          </w:p>
        </w:tc>
        <w:tc>
          <w:tcPr>
            <w:tcW w:type="dxa" w:w="3912"/>
            <w:shd w:fill="0B1D33"/>
            <w:tcMar>
              <w:top w:w="80" w:type="dxa"/>
              <w:start w:w="90" w:type="dxa"/>
              <w:bottom w:w="80" w:type="dxa"/>
              <w:end w:w="90" w:type="dxa"/>
            </w:tcMar>
            <w:vAlign w:val="center"/>
          </w:tcPr>
          <w:p>
            <w:r>
              <w:rPr>
                <w:rFonts w:ascii="Aptos" w:hAnsi="Aptos"/>
                <w:b/>
                <w:color w:val="FDFBF6"/>
                <w:sz w:val="16"/>
              </w:rPr>
              <w:t>Ausgabe</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C0</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Ausgaben und Zugänge</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bibliografischer und rechtlicher Fixpunkt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C1</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kanonische Atlasdaten</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zwölf zurückgelesene Anker</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C2</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FR2004 · EN2014</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zwölf Strukturklassen</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C3</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Quellen, Lexika, Passagen, Gegenmodelle</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zwölf abgeschlossene Dossiers</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C4</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24 eingefrorene Evidenzkarten</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24 Endcodes</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C5</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Endcodes und Reservate</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adversarialer bounded pass</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C6</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alle Dossiers</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Synthese und Hypothesenurteil</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C7</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eingefrorener C6-Stand</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Bericht, Datensatz, Manifest</w:t>
            </w:r>
          </w:p>
        </w:tc>
      </w:tr>
    </w:tbl>
    <w:p>
      <w:pPr>
        <w:spacing w:after="0"/>
      </w:pPr>
    </w:p>
    <w:p>
      <w:pPr>
        <w:pStyle w:val="Heading1"/>
      </w:pPr>
      <w:r>
        <w:t>Methodenanhang B Evidenzregister</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855"/>
            <w:shd w:fill="0B1D33"/>
            <w:tcMar>
              <w:top w:w="80" w:type="dxa"/>
              <w:start w:w="90" w:type="dxa"/>
              <w:bottom w:w="80" w:type="dxa"/>
              <w:end w:w="90" w:type="dxa"/>
            </w:tcMar>
            <w:vAlign w:val="center"/>
          </w:tcPr>
          <w:p>
            <w:r>
              <w:rPr>
                <w:rFonts w:ascii="Aptos" w:hAnsi="Aptos"/>
                <w:b/>
                <w:color w:val="FDFBF6"/>
                <w:sz w:val="15"/>
              </w:rPr>
              <w:t>Register</w:t>
            </w:r>
          </w:p>
        </w:tc>
        <w:tc>
          <w:tcPr>
            <w:tcW w:type="dxa" w:w="2381"/>
            <w:shd w:fill="0B1D33"/>
            <w:tcMar>
              <w:top w:w="80" w:type="dxa"/>
              <w:start w:w="90" w:type="dxa"/>
              <w:bottom w:w="80" w:type="dxa"/>
              <w:end w:w="90" w:type="dxa"/>
            </w:tcMar>
            <w:vAlign w:val="center"/>
          </w:tcPr>
          <w:p>
            <w:r>
              <w:rPr>
                <w:rFonts w:ascii="Aptos" w:hAnsi="Aptos"/>
                <w:b/>
                <w:color w:val="FDFBF6"/>
                <w:sz w:val="15"/>
              </w:rPr>
              <w:t>Primärschlüssel</w:t>
            </w:r>
          </w:p>
        </w:tc>
        <w:tc>
          <w:tcPr>
            <w:tcW w:type="dxa" w:w="2608"/>
            <w:shd w:fill="0B1D33"/>
            <w:tcMar>
              <w:top w:w="80" w:type="dxa"/>
              <w:start w:w="90" w:type="dxa"/>
              <w:bottom w:w="80" w:type="dxa"/>
              <w:end w:w="90" w:type="dxa"/>
            </w:tcMar>
            <w:vAlign w:val="center"/>
          </w:tcPr>
          <w:p>
            <w:r>
              <w:rPr>
                <w:rFonts w:ascii="Aptos" w:hAnsi="Aptos"/>
                <w:b/>
                <w:color w:val="FDFBF6"/>
                <w:sz w:val="15"/>
              </w:rPr>
              <w:t>Zweck</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CASSIN_Quellenregister_C3.jsonl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source_id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Werk, Ausgabe, Sprache und Lokator</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CASSIN_Rechteregister_C3.jsonl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rights_id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Forschungszugang und Nachnutzung</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CASSIN_Passagenregister_C3.jsonl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passage_id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Ausschnitt, Wortzahl und Gruppenbindung</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CASSIN_Uebersetzungswege_C3.jsonl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translation_path_id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gerichtete Passage-zu-Passage-Relation</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CASSIN_Negativbefunde_C3.jsonl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negative_finding_id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verworfene Gleichungen und Grenzen</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CASSIN_Simulationsregister_C3.jsonl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simulation_review_id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nichtmenschliche Reviewrollen</w:t>
            </w:r>
          </w:p>
        </w:tc>
      </w:tr>
    </w:tbl>
    <w:p>
      <w:pPr>
        <w:spacing w:after="0"/>
      </w:pPr>
    </w:p>
    <w:p>
      <w:pPr>
        <w:jc w:val="both"/>
      </w:pPr>
      <w:r>
        <w:rPr>
          <w:rFonts w:ascii="Aptos" w:hAnsi="Aptos"/>
          <w:i w:val="0"/>
          <w:color w:val="162536"/>
          <w:sz w:val="20"/>
        </w:rPr>
        <w:t>Das C7-Dataset verbindet die 24 qualifizierenden C3-Wege mit den endgültigen C4-Codes und den C6-Fallabschlüssen. Es überschreibt die Ursprungsregister nicht.</w:t>
      </w:r>
    </w:p>
    <w:p>
      <w:pPr>
        <w:pStyle w:val="Heading1"/>
      </w:pPr>
      <w:r>
        <w:t>Methodenanhang C Rechteprüfung</w:t>
      </w:r>
    </w:p>
    <w:p>
      <w:pPr>
        <w:spacing w:after="60"/>
        <w:ind w:left="312" w:hanging="312"/>
        <w:jc w:val="both"/>
      </w:pPr>
      <w:r>
        <w:rPr>
          <w:rFonts w:ascii="Aptos" w:hAnsi="Aptos"/>
          <w:b/>
          <w:color w:val="162536"/>
          <w:sz w:val="19"/>
        </w:rPr>
        <w:t xml:space="preserve">1.  </w:t>
      </w:r>
      <w:r>
        <w:rPr>
          <w:rFonts w:ascii="Aptos" w:hAnsi="Aptos"/>
          <w:color w:val="162536"/>
          <w:sz w:val="19"/>
        </w:rPr>
        <w:t>Werk- und Ausgabenidentität feststellen.</w:t>
      </w:r>
    </w:p>
    <w:p>
      <w:pPr>
        <w:spacing w:after="60"/>
        <w:ind w:left="312" w:hanging="312"/>
        <w:jc w:val="both"/>
      </w:pPr>
      <w:r>
        <w:rPr>
          <w:rFonts w:ascii="Aptos" w:hAnsi="Aptos"/>
          <w:b/>
          <w:color w:val="162536"/>
          <w:sz w:val="19"/>
        </w:rPr>
        <w:t xml:space="preserve">2.  </w:t>
      </w:r>
      <w:r>
        <w:rPr>
          <w:rFonts w:ascii="Aptos" w:hAnsi="Aptos"/>
          <w:color w:val="162536"/>
          <w:sz w:val="19"/>
        </w:rPr>
        <w:t>Urheber- und Übersetzerstatus getrennt prüfen.</w:t>
      </w:r>
    </w:p>
    <w:p>
      <w:pPr>
        <w:spacing w:after="60"/>
        <w:ind w:left="312" w:hanging="312"/>
        <w:jc w:val="both"/>
      </w:pPr>
      <w:r>
        <w:rPr>
          <w:rFonts w:ascii="Aptos" w:hAnsi="Aptos"/>
          <w:b/>
          <w:color w:val="162536"/>
          <w:sz w:val="19"/>
        </w:rPr>
        <w:t xml:space="preserve">3.  </w:t>
      </w:r>
      <w:r>
        <w:rPr>
          <w:rFonts w:ascii="Aptos" w:hAnsi="Aptos"/>
          <w:color w:val="162536"/>
          <w:sz w:val="19"/>
        </w:rPr>
        <w:t>Textrecht, Digitalisat, Transkription und Plattformbedingungen trennen.</w:t>
      </w:r>
    </w:p>
    <w:p>
      <w:pPr>
        <w:spacing w:after="60"/>
        <w:ind w:left="312" w:hanging="312"/>
        <w:jc w:val="both"/>
      </w:pPr>
      <w:r>
        <w:rPr>
          <w:rFonts w:ascii="Aptos" w:hAnsi="Aptos"/>
          <w:b/>
          <w:color w:val="162536"/>
          <w:sz w:val="19"/>
        </w:rPr>
        <w:t xml:space="preserve">4.  </w:t>
      </w:r>
      <w:r>
        <w:rPr>
          <w:rFonts w:ascii="Aptos" w:hAnsi="Aptos"/>
          <w:color w:val="162536"/>
          <w:sz w:val="19"/>
        </w:rPr>
        <w:t>Forschungszugang nicht als offene Lizenz ausgeben.</w:t>
      </w:r>
    </w:p>
    <w:p>
      <w:pPr>
        <w:spacing w:after="60"/>
        <w:ind w:left="312" w:hanging="312"/>
        <w:jc w:val="both"/>
      </w:pPr>
      <w:r>
        <w:rPr>
          <w:rFonts w:ascii="Aptos" w:hAnsi="Aptos"/>
          <w:b/>
          <w:color w:val="162536"/>
          <w:sz w:val="19"/>
        </w:rPr>
        <w:t xml:space="preserve">5.  </w:t>
      </w:r>
      <w:r>
        <w:rPr>
          <w:rFonts w:ascii="Aptos" w:hAnsi="Aptos"/>
          <w:color w:val="162536"/>
          <w:sz w:val="19"/>
        </w:rPr>
        <w:t>Bei geschützten Texten nur erforderliche Kurzzitate speichern.</w:t>
      </w:r>
    </w:p>
    <w:p>
      <w:pPr>
        <w:spacing w:after="60"/>
        <w:ind w:left="312" w:hanging="312"/>
        <w:jc w:val="both"/>
      </w:pPr>
      <w:r>
        <w:rPr>
          <w:rFonts w:ascii="Aptos" w:hAnsi="Aptos"/>
          <w:b/>
          <w:color w:val="162536"/>
          <w:sz w:val="19"/>
        </w:rPr>
        <w:t xml:space="preserve">6.  </w:t>
      </w:r>
      <w:r>
        <w:rPr>
          <w:rFonts w:ascii="Aptos" w:hAnsi="Aptos"/>
          <w:color w:val="162536"/>
          <w:sz w:val="19"/>
        </w:rPr>
        <w:t>Jede spätere Veröffentlichung erneut objektbezogen prüfen.</w:t>
      </w:r>
    </w:p>
    <w:p>
      <w:pPr>
        <w:spacing w:before="80" w:after="120"/>
      </w:pPr>
      <w:r>
        <w:rPr>
          <w:rFonts w:ascii="Aptos" w:hAnsi="Aptos"/>
          <w:b/>
          <w:color w:val="C79A3B"/>
          <w:sz w:val="17"/>
        </w:rPr>
        <w:t xml:space="preserve">ERGEBNIS  </w:t>
      </w:r>
      <w:r>
        <w:rPr>
          <w:rFonts w:ascii="Aptos" w:hAnsi="Aptos"/>
          <w:color w:val="162536"/>
          <w:sz w:val="20"/>
        </w:rPr>
        <w:t>164 Quellen stehen 164 Rechteobjekten gegenüber; keine geschützte gespeicherte Passage überschreitet 25 Wörter.</w:t>
      </w:r>
    </w:p>
    <w:p>
      <w:pPr>
        <w:pStyle w:val="Heading1"/>
      </w:pPr>
      <w:r>
        <w:t>Methodenanhang D Codierung und Adjudikation</w:t>
      </w:r>
    </w:p>
    <w:p>
      <w:pPr>
        <w:jc w:val="both"/>
      </w:pPr>
      <w:r>
        <w:rPr>
          <w:rFonts w:ascii="Aptos" w:hAnsi="Aptos"/>
          <w:i w:val="0"/>
          <w:color w:val="162536"/>
          <w:sz w:val="20"/>
        </w:rPr>
        <w:t>Die C4-Einheit ist der einzelne publizierte Übersetzungsweg. Jeder Lauf vergibt genau einen Grad und mindestens einen Mechanismus. Der Adjudikator prüft die Begründungen gegen die eingefrorene Evidenz. Ein Mechanismus wird nur übernommen, wenn er für genau diesen Weg belegt ist.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891"/>
            <w:shd w:fill="0B1D33"/>
            <w:tcMar>
              <w:top w:w="80" w:type="dxa"/>
              <w:start w:w="90" w:type="dxa"/>
              <w:bottom w:w="80" w:type="dxa"/>
              <w:end w:w="90" w:type="dxa"/>
            </w:tcMar>
            <w:vAlign w:val="center"/>
          </w:tcPr>
          <w:p>
            <w:r>
              <w:rPr>
                <w:rFonts w:ascii="Aptos" w:hAnsi="Aptos"/>
                <w:b/>
                <w:color w:val="FDFBF6"/>
                <w:sz w:val="17"/>
              </w:rPr>
              <w:t>Entscheidungslage</w:t>
            </w:r>
          </w:p>
        </w:tc>
        <w:tc>
          <w:tcPr>
            <w:tcW w:type="dxa" w:w="5953"/>
            <w:shd w:fill="0B1D33"/>
            <w:tcMar>
              <w:top w:w="80" w:type="dxa"/>
              <w:start w:w="90" w:type="dxa"/>
              <w:bottom w:w="80" w:type="dxa"/>
              <w:end w:w="90" w:type="dxa"/>
            </w:tcMar>
            <w:vAlign w:val="center"/>
          </w:tcPr>
          <w:p>
            <w:r>
              <w:rPr>
                <w:rFonts w:ascii="Aptos" w:hAnsi="Aptos"/>
                <w:b/>
                <w:color w:val="FDFBF6"/>
                <w:sz w:val="17"/>
              </w:rPr>
              <w:t>Regel</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Gradübereinstimmung</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nur bei tragfähigen Begründungen übernehmen</w:t>
            </w:r>
          </w:p>
        </w:tc>
      </w:tr>
      <w:tr>
        <w:tc>
          <w:tcPr>
            <w:tcW w:type="dxa" w:w="2891"/>
            <w:shd w:fill="FAF8F3"/>
            <w:tcMar>
              <w:top w:w="80" w:type="dxa"/>
              <w:start w:w="90" w:type="dxa"/>
              <w:bottom w:w="80" w:type="dxa"/>
              <w:end w:w="90" w:type="dxa"/>
            </w:tcMar>
            <w:vAlign w:val="center"/>
          </w:tcPr>
          <w:p>
            <w:pPr>
              <w:jc w:val="left"/>
            </w:pPr>
            <w:r>
              <w:rPr>
                <w:rFonts w:ascii="Aptos" w:hAnsi="Aptos"/>
                <w:b/>
                <w:color w:val="162536"/>
                <w:sz w:val="17"/>
              </w:rPr>
              <w:t>Graddissens</w:t>
            </w:r>
          </w:p>
        </w:tc>
        <w:tc>
          <w:tcPr>
            <w:tcW w:type="dxa" w:w="5953"/>
            <w:shd w:fill="FAF8F3"/>
            <w:tcMar>
              <w:top w:w="80" w:type="dxa"/>
              <w:start w:w="90" w:type="dxa"/>
              <w:bottom w:w="80" w:type="dxa"/>
              <w:end w:w="90" w:type="dxa"/>
            </w:tcMar>
            <w:vAlign w:val="center"/>
          </w:tcPr>
          <w:p>
            <w:pPr>
              <w:jc w:val="left"/>
            </w:pPr>
            <w:r>
              <w:rPr>
                <w:rFonts w:ascii="Aptos" w:hAnsi="Aptos"/>
                <w:b w:val="0"/>
                <w:color w:val="162536"/>
                <w:sz w:val="17"/>
              </w:rPr>
              <w:t>keine Mittelung; Evidenz entscheidet</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Mechanismendissens</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Codes einzeln belegen oder verwerfen</w:t>
            </w:r>
          </w:p>
        </w:tc>
      </w:tr>
      <w:tr>
        <w:tc>
          <w:tcPr>
            <w:tcW w:type="dxa" w:w="2891"/>
            <w:shd w:fill="FAF8F3"/>
            <w:tcMar>
              <w:top w:w="80" w:type="dxa"/>
              <w:start w:w="90" w:type="dxa"/>
              <w:bottom w:w="80" w:type="dxa"/>
              <w:end w:w="90" w:type="dxa"/>
            </w:tcMar>
            <w:vAlign w:val="center"/>
          </w:tcPr>
          <w:p>
            <w:pPr>
              <w:jc w:val="left"/>
            </w:pPr>
            <w:r>
              <w:rPr>
                <w:rFonts w:ascii="Aptos" w:hAnsi="Aptos"/>
                <w:b/>
                <w:color w:val="162536"/>
                <w:sz w:val="17"/>
              </w:rPr>
              <w:t>nicht auflösbar</w:t>
            </w:r>
          </w:p>
        </w:tc>
        <w:tc>
          <w:tcPr>
            <w:tcW w:type="dxa" w:w="5953"/>
            <w:shd w:fill="FAF8F3"/>
            <w:tcMar>
              <w:top w:w="80" w:type="dxa"/>
              <w:start w:w="90" w:type="dxa"/>
              <w:bottom w:w="80" w:type="dxa"/>
              <w:end w:w="90" w:type="dxa"/>
            </w:tcMar>
            <w:vAlign w:val="center"/>
          </w:tcPr>
          <w:p>
            <w:pPr>
              <w:jc w:val="left"/>
            </w:pPr>
            <w:r>
              <w:rPr>
                <w:rFonts w:ascii="Aptos" w:hAnsi="Aptos"/>
                <w:b w:val="0"/>
                <w:color w:val="162536"/>
                <w:sz w:val="17"/>
              </w:rPr>
              <w:t>X</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Rechtefrage</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durch semantischen Code nicht verändert</w:t>
            </w:r>
          </w:p>
        </w:tc>
      </w:tr>
    </w:tbl>
    <w:p>
      <w:pPr>
        <w:spacing w:after="0"/>
      </w:pPr>
    </w:p>
    <w:p>
      <w:pPr>
        <w:pStyle w:val="Heading1"/>
      </w:pPr>
      <w:r>
        <w:t>Methodenanhang E Simulationsreview</w:t>
      </w:r>
    </w:p>
    <w:p>
      <w:pPr>
        <w:jc w:val="both"/>
      </w:pPr>
      <w:r>
        <w:rPr>
          <w:rFonts w:ascii="Aptos" w:hAnsi="Aptos"/>
          <w:i w:val="0"/>
          <w:color w:val="162536"/>
          <w:sz w:val="20"/>
        </w:rPr>
        <w:t>Weil menschliche Ressourcen nicht verfügbar waren, wurden historische Philologie, Lexikografie, Übersetzungswissenschaft, adversariales Review und Rechteprüfung als getrennte Modellrollen simuliert. Für CP-011 und CP-012 kam eine begrenzte sprach- und kulturkritische Rolle hinzu. Die Simulationen sind Verfahren zur systematischen Gegenlektüre, keine Personen und keine Sprecherurteile.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969"/>
            <w:shd w:fill="0B1D33"/>
            <w:tcMar>
              <w:top w:w="80" w:type="dxa"/>
              <w:start w:w="90" w:type="dxa"/>
              <w:bottom w:w="80" w:type="dxa"/>
              <w:end w:w="90" w:type="dxa"/>
            </w:tcMar>
            <w:vAlign w:val="center"/>
          </w:tcPr>
          <w:p>
            <w:r>
              <w:rPr>
                <w:rFonts w:ascii="Aptos" w:hAnsi="Aptos"/>
                <w:b/>
                <w:color w:val="FDFBF6"/>
                <w:sz w:val="16"/>
              </w:rPr>
              <w:t>Zulässiger Status</w:t>
            </w:r>
          </w:p>
        </w:tc>
        <w:tc>
          <w:tcPr>
            <w:tcW w:type="dxa" w:w="4876"/>
            <w:shd w:fill="0B1D33"/>
            <w:tcMar>
              <w:top w:w="80" w:type="dxa"/>
              <w:start w:w="90" w:type="dxa"/>
              <w:bottom w:w="80" w:type="dxa"/>
              <w:end w:w="90" w:type="dxa"/>
            </w:tcMar>
            <w:vAlign w:val="center"/>
          </w:tcPr>
          <w:p>
            <w:r>
              <w:rPr>
                <w:rFonts w:ascii="Aptos" w:hAnsi="Aptos"/>
                <w:b/>
                <w:color w:val="FDFBF6"/>
                <w:sz w:val="16"/>
              </w:rPr>
              <w:t>Bedeutung</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pass</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kein zwingender Einwand im erlaubten Evidenzrahmen</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pass_with_reservations</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Befund bleibt mit sichtbaren Grenzen</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bounded_pass_with_unresolved_human_review</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nichtmenschliche Prüfung abgeschlossen; menschliche Lücke bleibt</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stop</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Beleg, Rechte oder Methode unzureichend</w:t>
            </w:r>
          </w:p>
        </w:tc>
      </w:tr>
    </w:tbl>
    <w:p>
      <w:pPr>
        <w:spacing w:after="0"/>
      </w:pPr>
    </w:p>
    <w:p>
      <w:pPr>
        <w:pStyle w:val="Heading1"/>
      </w:pPr>
      <w:r>
        <w:t>Fallregister</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653"/>
        <w:gridCol w:w="1653"/>
        <w:gridCol w:w="1653"/>
        <w:gridCol w:w="1653"/>
        <w:gridCol w:w="1653"/>
        <w:gridCol w:w="1653"/>
      </w:tblGrid>
      <w:tr>
        <w:trPr>
          <w:tblHeader w:val="true"/>
        </w:trPr>
        <w:tc>
          <w:tcPr>
            <w:tcW w:type="dxa" w:w="850"/>
            <w:shd w:fill="0B1D33"/>
            <w:tcMar>
              <w:top w:w="80" w:type="dxa"/>
              <w:start w:w="90" w:type="dxa"/>
              <w:bottom w:w="80" w:type="dxa"/>
              <w:end w:w="90" w:type="dxa"/>
            </w:tcMar>
            <w:vAlign w:val="center"/>
          </w:tcPr>
          <w:p>
            <w:r>
              <w:rPr>
                <w:rFonts w:ascii="Aptos" w:hAnsi="Aptos"/>
                <w:b/>
                <w:color w:val="FDFBF6"/>
                <w:sz w:val="13"/>
              </w:rPr>
              <w:t>ID</w:t>
            </w:r>
          </w:p>
        </w:tc>
        <w:tc>
          <w:tcPr>
            <w:tcW w:type="dxa" w:w="1531"/>
            <w:shd w:fill="0B1D33"/>
            <w:tcMar>
              <w:top w:w="80" w:type="dxa"/>
              <w:start w:w="90" w:type="dxa"/>
              <w:bottom w:w="80" w:type="dxa"/>
              <w:end w:w="90" w:type="dxa"/>
            </w:tcMar>
            <w:vAlign w:val="center"/>
          </w:tcPr>
          <w:p>
            <w:r>
              <w:rPr>
                <w:rFonts w:ascii="Aptos" w:hAnsi="Aptos"/>
                <w:b/>
                <w:color w:val="FDFBF6"/>
                <w:sz w:val="13"/>
              </w:rPr>
              <w:t>Begriff</w:t>
            </w:r>
          </w:p>
        </w:tc>
        <w:tc>
          <w:tcPr>
            <w:tcW w:type="dxa" w:w="1701"/>
            <w:shd w:fill="0B1D33"/>
            <w:tcMar>
              <w:top w:w="80" w:type="dxa"/>
              <w:start w:w="90" w:type="dxa"/>
              <w:bottom w:w="80" w:type="dxa"/>
              <w:end w:w="90" w:type="dxa"/>
            </w:tcMar>
            <w:vAlign w:val="center"/>
          </w:tcPr>
          <w:p>
            <w:r>
              <w:rPr>
                <w:rFonts w:ascii="Aptos" w:hAnsi="Aptos"/>
                <w:b/>
                <w:color w:val="FDFBF6"/>
                <w:sz w:val="13"/>
              </w:rPr>
              <w:t>Atlas ID</w:t>
            </w:r>
          </w:p>
        </w:tc>
        <w:tc>
          <w:tcPr>
            <w:tcW w:type="dxa" w:w="1531"/>
            <w:shd w:fill="0B1D33"/>
            <w:tcMar>
              <w:top w:w="80" w:type="dxa"/>
              <w:start w:w="90" w:type="dxa"/>
              <w:bottom w:w="80" w:type="dxa"/>
              <w:end w:w="90" w:type="dxa"/>
            </w:tcMar>
            <w:vAlign w:val="center"/>
          </w:tcPr>
          <w:p>
            <w:r>
              <w:rPr>
                <w:rFonts w:ascii="Aptos" w:hAnsi="Aptos"/>
                <w:b/>
                <w:color w:val="FDFBF6"/>
                <w:sz w:val="13"/>
              </w:rPr>
              <w:t>FR2004</w:t>
            </w:r>
          </w:p>
        </w:tc>
        <w:tc>
          <w:tcPr>
            <w:tcW w:type="dxa" w:w="1531"/>
            <w:shd w:fill="0B1D33"/>
            <w:tcMar>
              <w:top w:w="80" w:type="dxa"/>
              <w:start w:w="90" w:type="dxa"/>
              <w:bottom w:w="80" w:type="dxa"/>
              <w:end w:w="90" w:type="dxa"/>
            </w:tcMar>
            <w:vAlign w:val="center"/>
          </w:tcPr>
          <w:p>
            <w:r>
              <w:rPr>
                <w:rFonts w:ascii="Aptos" w:hAnsi="Aptos"/>
                <w:b/>
                <w:color w:val="FDFBF6"/>
                <w:sz w:val="13"/>
              </w:rPr>
              <w:t>EN2014</w:t>
            </w:r>
          </w:p>
        </w:tc>
        <w:tc>
          <w:tcPr>
            <w:tcW w:type="dxa" w:w="1701"/>
            <w:shd w:fill="0B1D33"/>
            <w:tcMar>
              <w:top w:w="80" w:type="dxa"/>
              <w:start w:w="90" w:type="dxa"/>
              <w:bottom w:w="80" w:type="dxa"/>
              <w:end w:w="90" w:type="dxa"/>
            </w:tcMar>
            <w:vAlign w:val="center"/>
          </w:tcPr>
          <w:p>
            <w:r>
              <w:rPr>
                <w:rFonts w:ascii="Aptos" w:hAnsi="Aptos"/>
                <w:b/>
                <w:color w:val="FDFBF6"/>
                <w:sz w:val="13"/>
              </w:rPr>
              <w:t>C6-Folge</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Übersetzung</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AT-CORE-239-069</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CP-002</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Unübersetzbarkeit</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AT-TRA-0001</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CP-003</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Äquivalenz</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AT-W3-0296</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CP-004</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Falscher Freund</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AT-W3-0299</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CP-005</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Hermeneutik</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AT-W3-0314</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CP-006</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Intentionalität</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AT-103-027</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CP-007</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Doxa</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AT-OXD-0001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CP-008</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Aporie</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AT-METZ1-0009</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unverified_present_not_cluster_qualified</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CP-009</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Gabe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AT-CORE-239-018</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CP-010</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Identität</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AT-CORE-238-040</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CP-011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Ubuntu</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AT-119-046</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retain_as_is_with_unresolved_review</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CP-012</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Omotenashi</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AT-CORE-243-023</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bl>
    <w:p>
      <w:pPr>
        <w:spacing w:after="0"/>
      </w:pPr>
    </w:p>
    <w:p>
      <w:pPr>
        <w:spacing w:before="80" w:after="120"/>
      </w:pPr>
      <w:r>
        <w:rPr>
          <w:rFonts w:ascii="Aptos" w:hAnsi="Aptos"/>
          <w:b/>
          <w:color w:val="C79A3B"/>
          <w:sz w:val="17"/>
        </w:rPr>
        <w:t xml:space="preserve">REGISTERREGEL  </w:t>
      </w:r>
      <w:r>
        <w:rPr>
          <w:rFonts w:ascii="Aptos" w:hAnsi="Aptos"/>
          <w:color w:val="162536"/>
          <w:sz w:val="20"/>
        </w:rPr>
        <w:t>Die Strukturfelder beziehen sich ausschließlich auf die geprüften Ausgaben; die Atlasfolge ist Forschung, nicht Integration.</w:t>
      </w:r>
    </w:p>
    <w:p>
      <w:pPr>
        <w:pStyle w:val="Heading1"/>
      </w:pPr>
      <w:r>
        <w:t>Übersetzungswegregister 1</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1757"/>
            <w:shd w:fill="0B1D33"/>
            <w:tcMar>
              <w:top w:w="80" w:type="dxa"/>
              <w:start w:w="90" w:type="dxa"/>
              <w:bottom w:w="80" w:type="dxa"/>
              <w:end w:w="90" w:type="dxa"/>
            </w:tcMar>
            <w:vAlign w:val="center"/>
          </w:tcPr>
          <w:p>
            <w:r>
              <w:rPr>
                <w:rFonts w:ascii="Aptos" w:hAnsi="Aptos"/>
                <w:b/>
                <w:color w:val="FDFBF6"/>
                <w:sz w:val="14"/>
              </w:rPr>
              <w:t>Weg</w:t>
            </w:r>
          </w:p>
        </w:tc>
        <w:tc>
          <w:tcPr>
            <w:tcW w:type="dxa" w:w="964"/>
            <w:shd w:fill="0B1D33"/>
            <w:tcMar>
              <w:top w:w="80" w:type="dxa"/>
              <w:start w:w="90" w:type="dxa"/>
              <w:bottom w:w="80" w:type="dxa"/>
              <w:end w:w="90" w:type="dxa"/>
            </w:tcMar>
            <w:vAlign w:val="center"/>
          </w:tcPr>
          <w:p>
            <w:r>
              <w:rPr>
                <w:rFonts w:ascii="Aptos" w:hAnsi="Aptos"/>
                <w:b/>
                <w:color w:val="FDFBF6"/>
                <w:sz w:val="14"/>
              </w:rPr>
              <w:t>Fall</w:t>
            </w:r>
          </w:p>
        </w:tc>
        <w:tc>
          <w:tcPr>
            <w:tcW w:type="dxa" w:w="1757"/>
            <w:shd w:fill="0B1D33"/>
            <w:tcMar>
              <w:top w:w="80" w:type="dxa"/>
              <w:start w:w="90" w:type="dxa"/>
              <w:bottom w:w="80" w:type="dxa"/>
              <w:end w:w="90" w:type="dxa"/>
            </w:tcMar>
            <w:vAlign w:val="center"/>
          </w:tcPr>
          <w:p>
            <w:r>
              <w:rPr>
                <w:rFonts w:ascii="Aptos" w:hAnsi="Aptos"/>
                <w:b/>
                <w:color w:val="FDFBF6"/>
                <w:sz w:val="14"/>
              </w:rPr>
              <w:t>Begriff</w:t>
            </w:r>
          </w:p>
        </w:tc>
        <w:tc>
          <w:tcPr>
            <w:tcW w:type="dxa" w:w="2494"/>
            <w:shd w:fill="0B1D33"/>
            <w:tcMar>
              <w:top w:w="80" w:type="dxa"/>
              <w:start w:w="90" w:type="dxa"/>
              <w:bottom w:w="80" w:type="dxa"/>
              <w:end w:w="90" w:type="dxa"/>
            </w:tcMar>
            <w:vAlign w:val="center"/>
          </w:tcPr>
          <w:p>
            <w:r>
              <w:rPr>
                <w:rFonts w:ascii="Aptos" w:hAnsi="Aptos"/>
                <w:b/>
                <w:color w:val="FDFBF6"/>
                <w:sz w:val="14"/>
              </w:rPr>
              <w:t>Ziel</w:t>
            </w:r>
          </w:p>
        </w:tc>
        <w:tc>
          <w:tcPr>
            <w:tcW w:type="dxa" w:w="1871"/>
            <w:shd w:fill="0B1D33"/>
            <w:tcMar>
              <w:top w:w="80" w:type="dxa"/>
              <w:start w:w="90" w:type="dxa"/>
              <w:bottom w:w="80" w:type="dxa"/>
              <w:end w:w="90" w:type="dxa"/>
            </w:tcMar>
            <w:vAlign w:val="center"/>
          </w:tcPr>
          <w:p>
            <w:r>
              <w:rPr>
                <w:rFonts w:ascii="Aptos" w:hAnsi="Aptos"/>
                <w:b/>
                <w:color w:val="FDFBF6"/>
                <w:sz w:val="14"/>
              </w:rPr>
              <w:t>Endcode</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C3-TRN-0001</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CP-001</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Übersetzung</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Bartscht 1992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C3-TRN-0007</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CP-001</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Übersetzung</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Berman 1999 FR</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C3-TRN-0003</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CP-002</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Unübersetzbarkeit</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Zohn 1968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U4</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C3-TRN-0004</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CP-002</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Unübersetzbarkeit</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Rendall 1997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U3</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C3-TRN-0005</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CP-003</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Äquivalenz</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Albert 1900 FR</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C3-TRN-0006</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CP-003</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Äquivalenz</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Samuel 1921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C3-TRN-0008</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CP-004</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Falscher Freund</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1708 / 2005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U4</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C3-TRN-0009</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CP-004</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Falscher Freund</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Cassin 2014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U4 U6</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C3-TRN-0010</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CP-005</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Hermeneutik</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Bowie 1998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U6</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C3-TRN-0011</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CP-005</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Hermeneutik</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Glebe GHI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U6</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C3-TRN-0012</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CP-006</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Intentionalität</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Dominican 1920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U3 U6</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C3-TRN-0013</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CP-006</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Intentionalität</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Schneider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 U3</w:t>
            </w:r>
          </w:p>
        </w:tc>
      </w:tr>
    </w:tbl>
    <w:p>
      <w:pPr>
        <w:spacing w:after="0"/>
      </w:pPr>
    </w:p>
    <w:p>
      <w:pPr>
        <w:jc w:val="both"/>
      </w:pPr>
      <w:r>
        <w:rPr>
          <w:rFonts w:ascii="Aptos" w:hAnsi="Aptos"/>
          <w:i w:val="0"/>
          <w:color w:val="162536"/>
          <w:sz w:val="20"/>
        </w:rPr>
        <w:t>Vollständige Passage-IDs, Lokatoren, beobachtete Verschiebungen, Adjudikationsgründe und Reservate stehen im C7-Datensatz.</w:t>
      </w:r>
    </w:p>
    <w:p>
      <w:pPr>
        <w:pStyle w:val="Heading1"/>
      </w:pPr>
      <w:r>
        <w:t>Übersetzungswegregister 2</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1757"/>
            <w:shd w:fill="0B1D33"/>
            <w:tcMar>
              <w:top w:w="80" w:type="dxa"/>
              <w:start w:w="90" w:type="dxa"/>
              <w:bottom w:w="80" w:type="dxa"/>
              <w:end w:w="90" w:type="dxa"/>
            </w:tcMar>
            <w:vAlign w:val="center"/>
          </w:tcPr>
          <w:p>
            <w:r>
              <w:rPr>
                <w:rFonts w:ascii="Aptos" w:hAnsi="Aptos"/>
                <w:b/>
                <w:color w:val="FDFBF6"/>
                <w:sz w:val="14"/>
              </w:rPr>
              <w:t>Weg</w:t>
            </w:r>
          </w:p>
        </w:tc>
        <w:tc>
          <w:tcPr>
            <w:tcW w:type="dxa" w:w="964"/>
            <w:shd w:fill="0B1D33"/>
            <w:tcMar>
              <w:top w:w="80" w:type="dxa"/>
              <w:start w:w="90" w:type="dxa"/>
              <w:bottom w:w="80" w:type="dxa"/>
              <w:end w:w="90" w:type="dxa"/>
            </w:tcMar>
            <w:vAlign w:val="center"/>
          </w:tcPr>
          <w:p>
            <w:r>
              <w:rPr>
                <w:rFonts w:ascii="Aptos" w:hAnsi="Aptos"/>
                <w:b/>
                <w:color w:val="FDFBF6"/>
                <w:sz w:val="14"/>
              </w:rPr>
              <w:t>Fall</w:t>
            </w:r>
          </w:p>
        </w:tc>
        <w:tc>
          <w:tcPr>
            <w:tcW w:type="dxa" w:w="1757"/>
            <w:shd w:fill="0B1D33"/>
            <w:tcMar>
              <w:top w:w="80" w:type="dxa"/>
              <w:start w:w="90" w:type="dxa"/>
              <w:bottom w:w="80" w:type="dxa"/>
              <w:end w:w="90" w:type="dxa"/>
            </w:tcMar>
            <w:vAlign w:val="center"/>
          </w:tcPr>
          <w:p>
            <w:r>
              <w:rPr>
                <w:rFonts w:ascii="Aptos" w:hAnsi="Aptos"/>
                <w:b/>
                <w:color w:val="FDFBF6"/>
                <w:sz w:val="14"/>
              </w:rPr>
              <w:t>Begriff</w:t>
            </w:r>
          </w:p>
        </w:tc>
        <w:tc>
          <w:tcPr>
            <w:tcW w:type="dxa" w:w="2494"/>
            <w:shd w:fill="0B1D33"/>
            <w:tcMar>
              <w:top w:w="80" w:type="dxa"/>
              <w:start w:w="90" w:type="dxa"/>
              <w:bottom w:w="80" w:type="dxa"/>
              <w:end w:w="90" w:type="dxa"/>
            </w:tcMar>
            <w:vAlign w:val="center"/>
          </w:tcPr>
          <w:p>
            <w:r>
              <w:rPr>
                <w:rFonts w:ascii="Aptos" w:hAnsi="Aptos"/>
                <w:b/>
                <w:color w:val="FDFBF6"/>
                <w:sz w:val="14"/>
              </w:rPr>
              <w:t>Ziel</w:t>
            </w:r>
          </w:p>
        </w:tc>
        <w:tc>
          <w:tcPr>
            <w:tcW w:type="dxa" w:w="1871"/>
            <w:shd w:fill="0B1D33"/>
            <w:tcMar>
              <w:top w:w="80" w:type="dxa"/>
              <w:start w:w="90" w:type="dxa"/>
              <w:bottom w:w="80" w:type="dxa"/>
              <w:end w:w="90" w:type="dxa"/>
            </w:tcMar>
            <w:vAlign w:val="center"/>
          </w:tcPr>
          <w:p>
            <w:r>
              <w:rPr>
                <w:rFonts w:ascii="Aptos" w:hAnsi="Aptos"/>
                <w:b/>
                <w:color w:val="FDFBF6"/>
                <w:sz w:val="14"/>
              </w:rPr>
              <w:t>Endcode</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C3-TRN-0014</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CP-007</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Doxa</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Jowett 1892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C3-TRN-0015</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CP-007</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Doxa</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Chambry 1933 FR</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C3-TRN-0016</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CP-008</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Aporie</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Tredennick 1933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C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C3-TRN-0017</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CP-008</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Aporie</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Bonitz 1890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C3-TRN-0018</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CP-009</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Gabe</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Halls 1990 2002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U5</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C3-TRN-0019</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CP-009</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Gabe</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Guyer 2016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U5</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C3-TRN-0020</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CP-010</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Identität</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Coste 1700 FR</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U3 U7</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C3-TRN-0021</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CP-010</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Identität</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Poley 1757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U4</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C3-TRN-0022</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CP-011</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Ubuntu</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TRC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X · U5</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C3-TRN-0023</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CP-011</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Ubuntu</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Eze UNESCO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X · U5</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C3-TRN-0024</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CP-012</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Omotenashi</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Yokkaichi 2016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U5 U7</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C3-TRN-0025</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CP-012</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Omotenashi</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Pellicanò 2019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U5 U7</w:t>
            </w:r>
          </w:p>
        </w:tc>
      </w:tr>
    </w:tbl>
    <w:p>
      <w:pPr>
        <w:spacing w:after="0"/>
      </w:pPr>
    </w:p>
    <w:p>
      <w:pPr>
        <w:jc w:val="both"/>
      </w:pPr>
      <w:r>
        <w:rPr>
          <w:rFonts w:ascii="Aptos" w:hAnsi="Aptos"/>
          <w:i w:val="0"/>
          <w:color w:val="162536"/>
          <w:sz w:val="20"/>
        </w:rPr>
        <w:t>Vollständige Passage-IDs, Lokatoren, beobachtete Verschiebungen, Adjudikationsgründe und Reservate stehen im C7-Datensatz.</w:t>
      </w:r>
    </w:p>
    <w:p>
      <w:pPr>
        <w:pStyle w:val="Heading1"/>
      </w:pPr>
      <w:r>
        <w:t>Ausgewähltes Quellenregister</w:t>
      </w:r>
    </w:p>
    <w:p>
      <w:pPr>
        <w:jc w:val="both"/>
      </w:pPr>
      <w:r>
        <w:rPr>
          <w:rFonts w:ascii="Aptos" w:hAnsi="Aptos"/>
          <w:i w:val="0"/>
          <w:color w:val="162536"/>
          <w:sz w:val="20"/>
        </w:rPr>
        <w:t>Die folgende Auswahl nennt die tragenden Werkgruppen. Das vollständige Register umfasst 164 Datensätze und ist Bestandteil des reproduzierbaren Projektstands.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567"/>
            <w:shd w:fill="0B1D33"/>
            <w:tcMar>
              <w:top w:w="80" w:type="dxa"/>
              <w:start w:w="90" w:type="dxa"/>
              <w:bottom w:w="80" w:type="dxa"/>
              <w:end w:w="90" w:type="dxa"/>
            </w:tcMar>
            <w:vAlign w:val="center"/>
          </w:tcPr>
          <w:p>
            <w:r>
              <w:rPr>
                <w:rFonts w:ascii="Aptos" w:hAnsi="Aptos"/>
                <w:b/>
                <w:color w:val="FDFBF6"/>
                <w:sz w:val="13"/>
              </w:rPr>
              <w:t>Nr.</w:t>
            </w:r>
          </w:p>
        </w:tc>
        <w:tc>
          <w:tcPr>
            <w:tcW w:type="dxa" w:w="8277"/>
            <w:shd w:fill="0B1D33"/>
            <w:tcMar>
              <w:top w:w="80" w:type="dxa"/>
              <w:start w:w="90" w:type="dxa"/>
              <w:bottom w:w="80" w:type="dxa"/>
              <w:end w:w="90" w:type="dxa"/>
            </w:tcMar>
            <w:vAlign w:val="center"/>
          </w:tcPr>
          <w:p>
            <w:r>
              <w:rPr>
                <w:rFonts w:ascii="Aptos" w:hAnsi="Aptos"/>
                <w:b/>
                <w:color w:val="FDFBF6"/>
                <w:sz w:val="13"/>
              </w:rPr>
              <w:t>Quelle</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Cassin, Barbara (dir.) (2004): Vocabulaire européen des philosophies. Dictionnaire des intraduisibles. Paris: Seuil / Le Robert.</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2</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Cassin, Barbara (ed.) (2014): Dictionary of Untranslatables. A Philosophical Lexicon. Princeton: Princeton University Press.</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3</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Schleiermacher, Friedrich (1816): Ueber die verschiedenen Methoden des Uebersetzens. Berlin.</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4</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Jakobson, Roman (1959): On Linguistic Aspects of Translation.</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5</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Benjamin, Walter (1923): Die Aufgabe des Übersetzers. Heidelberg.</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6</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Zohn, Harry (1968): The Task of the Translator. In Illuminations.</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7</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Rendall, Steven (1997): The Translator's Task. TTR 10(2).</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8</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Apter, Emily (2013): Against World Literature. London: Verso.</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9</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Des Rochers, Arianne; Twiss, Robert (2018): Against Untranslatability. Quaderna 4.</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10</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Nida, Eugene A. (1964): Toward a Science of Translating.</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11</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Catford, J. C. (1965): A Linguistic Theory of Translation.</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12</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Nord, Christiane (2016): Function plus Loyalty. Procedia 231.</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13</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Nietzsche, Friedrich (1892): Zur Genealogie der Moral. 2. Auflage.</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14</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Bayle, Pierre (1727): Oeuvres diverses. Band II.</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15</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Schleiermacher, Friedrich; Lücke, Friedrich (1838): Hermeneutik und Kritik.</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16</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Habermas, Jürgen (1970): The Hermeneutic Claim to Universality.</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17</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Thomas Aquinas: Summa theologiae I-II, q. 12, a. 1.</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18</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Brentano, Franz (1874): Psychologie vom empirischen Standpunkte.</w:t>
            </w:r>
          </w:p>
        </w:tc>
      </w:tr>
    </w:tbl>
    <w:p>
      <w:pPr>
        <w:spacing w:after="0"/>
      </w:pPr>
    </w:p>
    <w:p>
      <w:pPr>
        <w:pStyle w:val="Heading1"/>
      </w:pPr>
      <w:r>
        <w:t>Reproduktion und Datensatz</w:t>
      </w:r>
    </w:p>
    <w:p>
      <w:pPr>
        <w:spacing w:after="60"/>
        <w:ind w:left="312" w:hanging="312"/>
        <w:jc w:val="both"/>
      </w:pPr>
      <w:r>
        <w:rPr>
          <w:rFonts w:ascii="Aptos" w:hAnsi="Aptos"/>
          <w:b/>
          <w:color w:val="162536"/>
          <w:sz w:val="18"/>
        </w:rPr>
        <w:t xml:space="preserve">1.  </w:t>
      </w:r>
      <w:r>
        <w:rPr>
          <w:rFonts w:ascii="Aptos" w:hAnsi="Aptos"/>
          <w:color w:val="162536"/>
          <w:sz w:val="18"/>
        </w:rPr>
        <w:t>C3-Freeze anhand des gespeicherten Manifests prüfen.</w:t>
      </w:r>
    </w:p>
    <w:p>
      <w:pPr>
        <w:spacing w:after="60"/>
        <w:ind w:left="312" w:hanging="312"/>
        <w:jc w:val="both"/>
      </w:pPr>
      <w:r>
        <w:rPr>
          <w:rFonts w:ascii="Aptos" w:hAnsi="Aptos"/>
          <w:b/>
          <w:color w:val="162536"/>
          <w:sz w:val="18"/>
        </w:rPr>
        <w:t xml:space="preserve">2.  </w:t>
      </w:r>
      <w:r>
        <w:rPr>
          <w:rFonts w:ascii="Aptos" w:hAnsi="Aptos"/>
          <w:color w:val="162536"/>
          <w:sz w:val="18"/>
        </w:rPr>
        <w:t>C4- und C5-Manifeste gegen die C6-Ausgangslage prüfen.</w:t>
      </w:r>
    </w:p>
    <w:p>
      <w:pPr>
        <w:spacing w:after="60"/>
        <w:ind w:left="312" w:hanging="312"/>
        <w:jc w:val="both"/>
      </w:pPr>
      <w:r>
        <w:rPr>
          <w:rFonts w:ascii="Aptos" w:hAnsi="Aptos"/>
          <w:b/>
          <w:color w:val="162536"/>
          <w:sz w:val="18"/>
        </w:rPr>
        <w:t xml:space="preserve">3.  </w:t>
      </w:r>
      <w:r>
        <w:rPr>
          <w:rFonts w:ascii="Aptos" w:hAnsi="Aptos"/>
          <w:color w:val="162536"/>
          <w:sz w:val="18"/>
        </w:rPr>
        <w:t>C7-Datensatz laden und zwölf eindeutige pilot_id sowie 24 eindeutige translation_path_id prüfen.</w:t>
      </w:r>
    </w:p>
    <w:p>
      <w:pPr>
        <w:spacing w:after="60"/>
        <w:ind w:left="312" w:hanging="312"/>
        <w:jc w:val="both"/>
      </w:pPr>
      <w:r>
        <w:rPr>
          <w:rFonts w:ascii="Aptos" w:hAnsi="Aptos"/>
          <w:b/>
          <w:color w:val="162536"/>
          <w:sz w:val="18"/>
        </w:rPr>
        <w:t xml:space="preserve">4.  </w:t>
      </w:r>
      <w:r>
        <w:rPr>
          <w:rFonts w:ascii="Aptos" w:hAnsi="Aptos"/>
          <w:color w:val="162536"/>
          <w:sz w:val="18"/>
        </w:rPr>
        <w:t>Gradverteilung A4, B13, C5, X2 und Mechanismen U1–U7 kontrollieren.</w:t>
      </w:r>
    </w:p>
    <w:p>
      <w:pPr>
        <w:spacing w:after="60"/>
        <w:ind w:left="312" w:hanging="312"/>
        <w:jc w:val="both"/>
      </w:pPr>
      <w:r>
        <w:rPr>
          <w:rFonts w:ascii="Aptos" w:hAnsi="Aptos"/>
          <w:b/>
          <w:color w:val="162536"/>
          <w:sz w:val="18"/>
        </w:rPr>
        <w:t xml:space="preserve">5.  </w:t>
      </w:r>
      <w:r>
        <w:rPr>
          <w:rFonts w:ascii="Aptos" w:hAnsi="Aptos"/>
          <w:color w:val="162536"/>
          <w:sz w:val="18"/>
        </w:rPr>
        <w:t>Berichte mit dem gespeicherten Builder aus den unveränderten sprachgleichen Referenzen erzeugen.</w:t>
      </w:r>
    </w:p>
    <w:p>
      <w:pPr>
        <w:spacing w:after="60"/>
        <w:ind w:left="312" w:hanging="312"/>
        <w:jc w:val="both"/>
      </w:pPr>
      <w:r>
        <w:rPr>
          <w:rFonts w:ascii="Aptos" w:hAnsi="Aptos"/>
          <w:b/>
          <w:color w:val="162536"/>
          <w:sz w:val="18"/>
        </w:rPr>
        <w:t xml:space="preserve">6.  </w:t>
      </w:r>
      <w:r>
        <w:rPr>
          <w:rFonts w:ascii="Aptos" w:hAnsi="Aptos"/>
          <w:color w:val="162536"/>
          <w:sz w:val="18"/>
        </w:rPr>
        <w:t>DOCX und PDF vollständig rendern, Seitenzahl, Text, Tabellen, Schriften und Hashes prüfen.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005"/>
            <w:shd w:fill="0B1D33"/>
            <w:tcMar>
              <w:top w:w="80" w:type="dxa"/>
              <w:start w:w="90" w:type="dxa"/>
              <w:bottom w:w="80" w:type="dxa"/>
              <w:end w:w="90" w:type="dxa"/>
            </w:tcMar>
            <w:vAlign w:val="center"/>
          </w:tcPr>
          <w:p>
            <w:r>
              <w:rPr>
                <w:rFonts w:ascii="Aptos" w:hAnsi="Aptos"/>
                <w:b/>
                <w:color w:val="FDFBF6"/>
                <w:sz w:val="15"/>
              </w:rPr>
              <w:t>Datensatz</w:t>
            </w:r>
          </w:p>
        </w:tc>
        <w:tc>
          <w:tcPr>
            <w:tcW w:type="dxa" w:w="5839"/>
            <w:shd w:fill="0B1D33"/>
            <w:tcMar>
              <w:top w:w="80" w:type="dxa"/>
              <w:start w:w="90" w:type="dxa"/>
              <w:bottom w:w="80" w:type="dxa"/>
              <w:end w:w="90" w:type="dxa"/>
            </w:tcMar>
            <w:vAlign w:val="center"/>
          </w:tcPr>
          <w:p>
            <w:r>
              <w:rPr>
                <w:rFonts w:ascii="Aptos" w:hAnsi="Aptos"/>
                <w:b/>
                <w:color w:val="FDFBF6"/>
                <w:sz w:val="15"/>
              </w:rPr>
              <w:t>Wert</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5"/>
              </w:rPr>
              <w:t>JSON</w:t>
            </w:r>
          </w:p>
        </w:tc>
        <w:tc>
          <w:tcPr>
            <w:tcW w:type="dxa" w:w="5839"/>
            <w:shd w:fill="F1EDE3"/>
            <w:tcMar>
              <w:top w:w="80" w:type="dxa"/>
              <w:start w:w="90" w:type="dxa"/>
              <w:bottom w:w="80" w:type="dxa"/>
              <w:end w:w="90" w:type="dxa"/>
            </w:tcMar>
            <w:vAlign w:val="center"/>
          </w:tcPr>
          <w:p>
            <w:pPr>
              <w:jc w:val="left"/>
            </w:pPr>
            <w:r>
              <w:rPr>
                <w:rFonts w:ascii="Aptos" w:hAnsi="Aptos"/>
                <w:b w:val="0"/>
                <w:color w:val="162536"/>
                <w:sz w:val="15"/>
              </w:rPr>
              <w:t>CASSIN_C7_Research_Dataset_v1_2026-09-13.json</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5"/>
              </w:rPr>
              <w:t>CSV</w:t>
            </w:r>
          </w:p>
        </w:tc>
        <w:tc>
          <w:tcPr>
            <w:tcW w:type="dxa" w:w="5839"/>
            <w:shd w:fill="FAF8F3"/>
            <w:tcMar>
              <w:top w:w="80" w:type="dxa"/>
              <w:start w:w="90" w:type="dxa"/>
              <w:bottom w:w="80" w:type="dxa"/>
              <w:end w:w="90" w:type="dxa"/>
            </w:tcMar>
            <w:vAlign w:val="center"/>
          </w:tcPr>
          <w:p>
            <w:pPr>
              <w:jc w:val="left"/>
            </w:pPr>
            <w:r>
              <w:rPr>
                <w:rFonts w:ascii="Aptos" w:hAnsi="Aptos"/>
                <w:b w:val="0"/>
                <w:color w:val="162536"/>
                <w:sz w:val="15"/>
              </w:rPr>
              <w:t>CASSIN_C7_Research_Dataset_v1_2026-09-13.csv</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5"/>
              </w:rPr>
              <w:t>Umfang</w:t>
            </w:r>
          </w:p>
        </w:tc>
        <w:tc>
          <w:tcPr>
            <w:tcW w:type="dxa" w:w="5839"/>
            <w:shd w:fill="F1EDE3"/>
            <w:tcMar>
              <w:top w:w="80" w:type="dxa"/>
              <w:start w:w="90" w:type="dxa"/>
              <w:bottom w:w="80" w:type="dxa"/>
              <w:end w:w="90" w:type="dxa"/>
            </w:tcMar>
            <w:vAlign w:val="center"/>
          </w:tcPr>
          <w:p>
            <w:pPr>
              <w:jc w:val="left"/>
            </w:pPr>
            <w:r>
              <w:rPr>
                <w:rFonts w:ascii="Aptos" w:hAnsi="Aptos"/>
                <w:b w:val="0"/>
                <w:color w:val="162536"/>
                <w:sz w:val="15"/>
              </w:rPr>
              <w:t>12 Fälle · 24 Wege</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5"/>
              </w:rPr>
              <w:t>JSON SHA-256</w:t>
            </w:r>
          </w:p>
        </w:tc>
        <w:tc>
          <w:tcPr>
            <w:tcW w:type="dxa" w:w="5839"/>
            <w:shd w:fill="FAF8F3"/>
            <w:tcMar>
              <w:top w:w="80" w:type="dxa"/>
              <w:start w:w="90" w:type="dxa"/>
              <w:bottom w:w="80" w:type="dxa"/>
              <w:end w:w="90" w:type="dxa"/>
            </w:tcMar>
            <w:vAlign w:val="center"/>
          </w:tcPr>
          <w:p>
            <w:pPr>
              <w:jc w:val="left"/>
            </w:pPr>
            <w:r>
              <w:rPr>
                <w:rFonts w:ascii="Aptos" w:hAnsi="Aptos"/>
                <w:b w:val="0"/>
                <w:color w:val="162536"/>
                <w:sz w:val="15"/>
              </w:rPr>
              <w:t>3c7eef8e03c294bce269e45db75ac9cf8446b416724363219fb96f8769a610a3</w:t>
            </w:r>
          </w:p>
        </w:tc>
      </w:tr>
    </w:tbl>
    <w:p>
      <w:pPr>
        <w:spacing w:after="0"/>
      </w:pPr>
    </w:p>
    <w:p>
      <w:pPr>
        <w:pStyle w:val="Heading1"/>
      </w:pPr>
      <w:r>
        <w:t>Reproduktionsmanifest und Hashkette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814"/>
            <w:shd w:fill="0B1D33"/>
            <w:tcMar>
              <w:top w:w="80" w:type="dxa"/>
              <w:start w:w="90" w:type="dxa"/>
              <w:bottom w:w="80" w:type="dxa"/>
              <w:end w:w="90" w:type="dxa"/>
            </w:tcMar>
            <w:vAlign w:val="center"/>
          </w:tcPr>
          <w:p>
            <w:r>
              <w:rPr>
                <w:rFonts w:ascii="Aptos" w:hAnsi="Aptos"/>
                <w:b/>
                <w:color w:val="FDFBF6"/>
                <w:sz w:val="14"/>
              </w:rPr>
              <w:t>Stufe</w:t>
            </w:r>
          </w:p>
        </w:tc>
        <w:tc>
          <w:tcPr>
            <w:tcW w:type="dxa" w:w="7030"/>
            <w:shd w:fill="0B1D33"/>
            <w:tcMar>
              <w:top w:w="80" w:type="dxa"/>
              <w:start w:w="90" w:type="dxa"/>
              <w:bottom w:w="80" w:type="dxa"/>
              <w:end w:w="90" w:type="dxa"/>
            </w:tcMar>
            <w:vAlign w:val="center"/>
          </w:tcPr>
          <w:p>
            <w:r>
              <w:rPr>
                <w:rFonts w:ascii="Aptos" w:hAnsi="Aptos"/>
                <w:b/>
                <w:color w:val="FDFBF6"/>
                <w:sz w:val="14"/>
              </w:rPr>
              <w:t>SHA-256</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C3 freeze</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fb398d187d9e565415094f631b252882f922b775b4994c28fc07ce5a18afe9cb</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4"/>
              </w:rPr>
              <w:t>C4 final</w:t>
            </w:r>
          </w:p>
        </w:tc>
        <w:tc>
          <w:tcPr>
            <w:tcW w:type="dxa" w:w="7030"/>
            <w:shd w:fill="FAF8F3"/>
            <w:tcMar>
              <w:top w:w="80" w:type="dxa"/>
              <w:start w:w="90" w:type="dxa"/>
              <w:bottom w:w="80" w:type="dxa"/>
              <w:end w:w="90" w:type="dxa"/>
            </w:tcMar>
            <w:vAlign w:val="center"/>
          </w:tcPr>
          <w:p>
            <w:pPr>
              <w:jc w:val="left"/>
            </w:pPr>
            <w:r>
              <w:rPr>
                <w:rFonts w:ascii="Aptos" w:hAnsi="Aptos"/>
                <w:b w:val="0"/>
                <w:color w:val="162536"/>
                <w:sz w:val="14"/>
              </w:rPr>
              <w:t>074f2c1e6a600c1c930c37997b9cb4eac8c86a0563a8057227a6ed25121b80a8</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C5 final</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ada06b8dc72bfefbb6abccd5bab3ce2a0788d98a3e093e81a96e7d42002a6272</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4"/>
              </w:rPr>
              <w:t>C6 final</w:t>
            </w:r>
          </w:p>
        </w:tc>
        <w:tc>
          <w:tcPr>
            <w:tcW w:type="dxa" w:w="7030"/>
            <w:shd w:fill="FAF8F3"/>
            <w:tcMar>
              <w:top w:w="80" w:type="dxa"/>
              <w:start w:w="90" w:type="dxa"/>
              <w:bottom w:w="80" w:type="dxa"/>
              <w:end w:w="90" w:type="dxa"/>
            </w:tcMar>
            <w:vAlign w:val="center"/>
          </w:tcPr>
          <w:p>
            <w:pPr>
              <w:jc w:val="left"/>
            </w:pPr>
            <w:r>
              <w:rPr>
                <w:rFonts w:ascii="Aptos" w:hAnsi="Aptos"/>
                <w:b w:val="0"/>
                <w:color w:val="162536"/>
                <w:sz w:val="14"/>
              </w:rPr>
              <w:t>4825e48627f3b7f354f5fd200a79f65644e9d5102a308b60c0676de5cccf6bda</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C7 dataset</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3c7eef8e03c294bce269e45db75ac9cf8446b416724363219fb96f8769a610a3</w:t>
            </w:r>
          </w:p>
        </w:tc>
      </w:tr>
    </w:tbl>
    <w:p>
      <w:pPr>
        <w:spacing w:after="0"/>
      </w:pPr>
    </w:p>
    <w:p>
      <w:pPr>
        <w:jc w:val="both"/>
      </w:pPr>
      <w:r>
        <w:rPr>
          <w:rFonts w:ascii="Aptos" w:hAnsi="Aptos"/>
          <w:i w:val="0"/>
          <w:color w:val="162536"/>
          <w:sz w:val="20"/>
        </w:rPr>
        <w:t>Das maschinenlesbare C7-Reproduktionsmanifest ergänzt diese Kette nach dem finalen Rendering um die SHA-256-Werte beider DOCX- und PDF-Ausgaben, des JSON- und CSV-Datensatzes, des Builders und der QA-Datei. Das Manifest enthält keinen selbstreferenziellen Eigenhash.</w:t>
      </w:r>
    </w:p>
    <w:p>
      <w:pPr>
        <w:spacing w:before="80" w:after="120"/>
      </w:pPr>
      <w:r>
        <w:rPr>
          <w:rFonts w:ascii="Aptos" w:hAnsi="Aptos"/>
          <w:b/>
          <w:color w:val="C79A3B"/>
          <w:sz w:val="17"/>
        </w:rPr>
        <w:t xml:space="preserve">FREEZEGRENZE  </w:t>
      </w:r>
      <w:r>
        <w:rPr>
          <w:rFonts w:ascii="Aptos" w:hAnsi="Aptos"/>
          <w:color w:val="162536"/>
          <w:sz w:val="20"/>
        </w:rPr>
        <w:t>Eine Änderung an Bericht, Datensatz oder Builder erzeugt einen neuen Hash und benötigt eine neue Versionsentscheidung.</w:t>
      </w:r>
    </w:p>
    <w:p>
      <w:pPr>
        <w:pStyle w:val="Heading1"/>
      </w:pPr>
      <w:r>
        <w:t>Zitierweise Literatur und Transparenz</w:t>
      </w:r>
    </w:p>
    <w:p>
      <w:pPr>
        <w:spacing w:before="80" w:after="120"/>
      </w:pPr>
      <w:r>
        <w:rPr>
          <w:rFonts w:ascii="Aptos" w:hAnsi="Aptos"/>
          <w:b/>
          <w:color w:val="C79A3B"/>
          <w:sz w:val="17"/>
        </w:rPr>
        <w:t xml:space="preserve">BERICHT ZITIEREN  </w:t>
      </w:r>
      <w:r>
        <w:rPr>
          <w:rFonts w:ascii="Aptos" w:hAnsi="Aptos"/>
          <w:color w:val="162536"/>
          <w:sz w:val="20"/>
        </w:rPr>
        <w:t>Reich, Michael (2026): Cassin und die Arbeit der Unübersetzbarkeit. Forschungsbericht zu zwölf Begriffsfällen, 24 Übersetzungswegen und den Gates C0 bis C6. Deutsche Ausgabe, Version 1.1. Atlas der Sprache / Atelier der Resonanzen, 13. September 2026.</w:t>
      </w:r>
    </w:p>
    <w:p>
      <w:pPr>
        <w:spacing w:before="80" w:after="120"/>
      </w:pPr>
      <w:r>
        <w:rPr>
          <w:rFonts w:ascii="Aptos" w:hAnsi="Aptos"/>
          <w:b/>
          <w:color w:val="C79A3B"/>
          <w:sz w:val="17"/>
        </w:rPr>
        <w:t xml:space="preserve">DATENSATZ ZITIEREN  </w:t>
      </w:r>
      <w:r>
        <w:rPr>
          <w:rFonts w:ascii="Aptos" w:hAnsi="Aptos"/>
          <w:color w:val="162536"/>
          <w:sz w:val="20"/>
        </w:rPr>
        <w:t>Reich, Michael (2026): Cassin-Pilot-Datensatz zu Nichtäquivalenz und Unübersetzbarkeit. Version 1.0. Atlas der Sprache / Atelier der Resonanzen, 13. September 2026.</w:t>
      </w:r>
    </w:p>
    <w:p>
      <w:pPr>
        <w:spacing w:after="60"/>
        <w:ind w:left="312" w:hanging="312"/>
        <w:jc w:val="both"/>
      </w:pPr>
      <w:r>
        <w:rPr>
          <w:rFonts w:ascii="Aptos" w:hAnsi="Aptos"/>
          <w:b w:val="0"/>
          <w:color w:val="162536"/>
          <w:sz w:val="13"/>
        </w:rPr>
        <w:t xml:space="preserve">•  </w:t>
      </w:r>
      <w:r>
        <w:rPr>
          <w:rFonts w:ascii="Aptos" w:hAnsi="Aptos"/>
          <w:color w:val="162536"/>
          <w:sz w:val="13"/>
        </w:rPr>
        <w:t>Husserl, Edmund (1901): Logische Untersuchungen. 2. Band.</w:t>
      </w:r>
    </w:p>
    <w:p>
      <w:pPr>
        <w:spacing w:after="60"/>
        <w:ind w:left="312" w:hanging="312"/>
        <w:jc w:val="both"/>
      </w:pPr>
      <w:r>
        <w:rPr>
          <w:rFonts w:ascii="Aptos" w:hAnsi="Aptos"/>
          <w:b w:val="0"/>
          <w:color w:val="162536"/>
          <w:sz w:val="13"/>
        </w:rPr>
        <w:t xml:space="preserve">•  </w:t>
      </w:r>
      <w:r>
        <w:rPr>
          <w:rFonts w:ascii="Aptos" w:hAnsi="Aptos"/>
          <w:color w:val="162536"/>
          <w:sz w:val="13"/>
        </w:rPr>
        <w:t>Dennett, Daniel C. (1971): Intentional Systems. Journal of Philosophy 68.</w:t>
      </w:r>
    </w:p>
    <w:p>
      <w:pPr>
        <w:spacing w:after="60"/>
        <w:ind w:left="312" w:hanging="312"/>
        <w:jc w:val="both"/>
      </w:pPr>
      <w:r>
        <w:rPr>
          <w:rFonts w:ascii="Aptos" w:hAnsi="Aptos"/>
          <w:b w:val="0"/>
          <w:color w:val="162536"/>
          <w:sz w:val="13"/>
        </w:rPr>
        <w:t xml:space="preserve">•  </w:t>
      </w:r>
      <w:r>
        <w:rPr>
          <w:rFonts w:ascii="Aptos" w:hAnsi="Aptos"/>
          <w:color w:val="162536"/>
          <w:sz w:val="13"/>
        </w:rPr>
        <w:t>Plato: Republic V 477e-478a.</w:t>
      </w:r>
    </w:p>
    <w:p>
      <w:pPr>
        <w:spacing w:after="60"/>
        <w:ind w:left="312" w:hanging="312"/>
        <w:jc w:val="both"/>
      </w:pPr>
      <w:r>
        <w:rPr>
          <w:rFonts w:ascii="Aptos" w:hAnsi="Aptos"/>
          <w:b w:val="0"/>
          <w:color w:val="162536"/>
          <w:sz w:val="13"/>
        </w:rPr>
        <w:t xml:space="preserve">•  </w:t>
      </w:r>
      <w:r>
        <w:rPr>
          <w:rFonts w:ascii="Aptos" w:hAnsi="Aptos"/>
          <w:color w:val="162536"/>
          <w:sz w:val="13"/>
        </w:rPr>
        <w:t>Aristotle: Topics I.1 and Metaphysics B 1.</w:t>
      </w:r>
    </w:p>
    <w:p>
      <w:pPr>
        <w:spacing w:after="60"/>
        <w:ind w:left="312" w:hanging="312"/>
        <w:jc w:val="both"/>
      </w:pPr>
      <w:r>
        <w:rPr>
          <w:rFonts w:ascii="Aptos" w:hAnsi="Aptos"/>
          <w:b w:val="0"/>
          <w:color w:val="162536"/>
          <w:sz w:val="13"/>
        </w:rPr>
        <w:t xml:space="preserve">•  </w:t>
      </w:r>
      <w:r>
        <w:rPr>
          <w:rFonts w:ascii="Aptos" w:hAnsi="Aptos"/>
          <w:color w:val="162536"/>
          <w:sz w:val="13"/>
        </w:rPr>
        <w:t>Bourdieu, Pierre (1977): Outline of a Theory of Practice.</w:t>
      </w:r>
    </w:p>
    <w:p>
      <w:pPr>
        <w:spacing w:after="60"/>
        <w:ind w:left="312" w:hanging="312"/>
        <w:jc w:val="both"/>
      </w:pPr>
      <w:r>
        <w:rPr>
          <w:rFonts w:ascii="Aptos" w:hAnsi="Aptos"/>
          <w:b w:val="0"/>
          <w:color w:val="162536"/>
          <w:sz w:val="13"/>
        </w:rPr>
        <w:t xml:space="preserve">•  </w:t>
      </w:r>
      <w:r>
        <w:rPr>
          <w:rFonts w:ascii="Aptos" w:hAnsi="Aptos"/>
          <w:color w:val="162536"/>
          <w:sz w:val="13"/>
        </w:rPr>
        <w:t>Derrida, Jacques (1993): Aporias.</w:t>
      </w:r>
    </w:p>
    <w:p>
      <w:pPr>
        <w:spacing w:after="60"/>
        <w:ind w:left="312" w:hanging="312"/>
        <w:jc w:val="both"/>
      </w:pPr>
      <w:r>
        <w:rPr>
          <w:rFonts w:ascii="Aptos" w:hAnsi="Aptos"/>
          <w:b w:val="0"/>
          <w:color w:val="162536"/>
          <w:sz w:val="13"/>
        </w:rPr>
        <w:t xml:space="preserve">•  </w:t>
      </w:r>
      <w:r>
        <w:rPr>
          <w:rFonts w:ascii="Aptos" w:hAnsi="Aptos"/>
          <w:color w:val="162536"/>
          <w:sz w:val="13"/>
        </w:rPr>
        <w:t>Mauss, Marcel (1925): Essai sur le don.</w:t>
      </w:r>
    </w:p>
    <w:p>
      <w:pPr>
        <w:spacing w:after="60"/>
        <w:ind w:left="312" w:hanging="312"/>
        <w:jc w:val="both"/>
      </w:pPr>
      <w:r>
        <w:rPr>
          <w:rFonts w:ascii="Aptos" w:hAnsi="Aptos"/>
          <w:b w:val="0"/>
          <w:color w:val="162536"/>
          <w:sz w:val="13"/>
        </w:rPr>
        <w:t xml:space="preserve">•  </w:t>
      </w:r>
      <w:r>
        <w:rPr>
          <w:rFonts w:ascii="Aptos" w:hAnsi="Aptos"/>
          <w:color w:val="162536"/>
          <w:sz w:val="13"/>
        </w:rPr>
        <w:t>Malinowski, Bronisław (1922): Argonauts of the Western Pacific.</w:t>
      </w:r>
    </w:p>
    <w:p>
      <w:pPr>
        <w:spacing w:after="60"/>
        <w:ind w:left="312" w:hanging="312"/>
        <w:jc w:val="both"/>
      </w:pPr>
      <w:r>
        <w:rPr>
          <w:rFonts w:ascii="Aptos" w:hAnsi="Aptos"/>
          <w:b w:val="0"/>
          <w:color w:val="162536"/>
          <w:sz w:val="13"/>
        </w:rPr>
        <w:t xml:space="preserve">•  </w:t>
      </w:r>
      <w:r>
        <w:rPr>
          <w:rFonts w:ascii="Aptos" w:hAnsi="Aptos"/>
          <w:color w:val="162536"/>
          <w:sz w:val="13"/>
        </w:rPr>
        <w:t>Derrida, Jacques (1992): Given Time I. Counterfeit Money.</w:t>
      </w:r>
    </w:p>
    <w:p>
      <w:pPr>
        <w:spacing w:after="60"/>
        <w:ind w:left="312" w:hanging="312"/>
        <w:jc w:val="both"/>
      </w:pPr>
      <w:r>
        <w:rPr>
          <w:rFonts w:ascii="Aptos" w:hAnsi="Aptos"/>
          <w:b w:val="0"/>
          <w:color w:val="162536"/>
          <w:sz w:val="13"/>
        </w:rPr>
        <w:t xml:space="preserve">•  </w:t>
      </w:r>
      <w:r>
        <w:rPr>
          <w:rFonts w:ascii="Aptos" w:hAnsi="Aptos"/>
          <w:color w:val="162536"/>
          <w:sz w:val="13"/>
        </w:rPr>
        <w:t>Locke, John (1700): An Essay Concerning Humane Understanding. 4th ed.</w:t>
      </w:r>
    </w:p>
    <w:p>
      <w:pPr>
        <w:spacing w:after="60"/>
        <w:ind w:left="312" w:hanging="312"/>
        <w:jc w:val="both"/>
      </w:pPr>
      <w:r>
        <w:rPr>
          <w:rFonts w:ascii="Aptos" w:hAnsi="Aptos"/>
          <w:b w:val="0"/>
          <w:color w:val="162536"/>
          <w:sz w:val="13"/>
        </w:rPr>
        <w:t xml:space="preserve">•  </w:t>
      </w:r>
      <w:r>
        <w:rPr>
          <w:rFonts w:ascii="Aptos" w:hAnsi="Aptos"/>
          <w:color w:val="162536"/>
          <w:sz w:val="13"/>
        </w:rPr>
        <w:t>Reid, Thomas (1785): Essays on the Intellectual Powers of Man.</w:t>
      </w:r>
    </w:p>
    <w:p>
      <w:pPr>
        <w:spacing w:after="60"/>
        <w:ind w:left="312" w:hanging="312"/>
        <w:jc w:val="both"/>
      </w:pPr>
      <w:r>
        <w:rPr>
          <w:rFonts w:ascii="Aptos" w:hAnsi="Aptos"/>
          <w:b w:val="0"/>
          <w:color w:val="162536"/>
          <w:sz w:val="13"/>
        </w:rPr>
        <w:t xml:space="preserve">•  </w:t>
      </w:r>
      <w:r>
        <w:rPr>
          <w:rFonts w:ascii="Aptos" w:hAnsi="Aptos"/>
          <w:color w:val="162536"/>
          <w:sz w:val="13"/>
        </w:rPr>
        <w:t>Hall, Stuart (1990): Cultural Identity and Diaspora.</w:t>
      </w:r>
    </w:p>
    <w:p>
      <w:pPr>
        <w:spacing w:after="60"/>
        <w:ind w:left="312" w:hanging="312"/>
        <w:jc w:val="both"/>
      </w:pPr>
      <w:r>
        <w:rPr>
          <w:rFonts w:ascii="Aptos" w:hAnsi="Aptos"/>
          <w:b w:val="0"/>
          <w:color w:val="162536"/>
          <w:sz w:val="13"/>
        </w:rPr>
        <w:t xml:space="preserve">•  </w:t>
      </w:r>
      <w:r>
        <w:rPr>
          <w:rFonts w:ascii="Aptos" w:hAnsi="Aptos"/>
          <w:color w:val="162536"/>
          <w:sz w:val="13"/>
        </w:rPr>
        <w:t>Gade, Christian B. N. (2011): The Historical Development of the Written Discourses on Ubuntu.</w:t>
      </w:r>
    </w:p>
    <w:p>
      <w:pPr>
        <w:spacing w:after="60"/>
        <w:ind w:left="312" w:hanging="312"/>
        <w:jc w:val="both"/>
      </w:pPr>
      <w:r>
        <w:rPr>
          <w:rFonts w:ascii="Aptos" w:hAnsi="Aptos"/>
          <w:b w:val="0"/>
          <w:color w:val="162536"/>
          <w:sz w:val="13"/>
        </w:rPr>
        <w:t xml:space="preserve">•  </w:t>
      </w:r>
      <w:r>
        <w:rPr>
          <w:rFonts w:ascii="Aptos" w:hAnsi="Aptos"/>
          <w:color w:val="162536"/>
          <w:sz w:val="13"/>
        </w:rPr>
        <w:t>Dladla, Ndumiso (2017): Here is a Table: A Philosophical Essay on History and Race in South Africa.</w:t>
      </w:r>
    </w:p>
    <w:p>
      <w:pPr>
        <w:spacing w:after="60"/>
        <w:ind w:left="312" w:hanging="312"/>
        <w:jc w:val="both"/>
      </w:pPr>
      <w:r>
        <w:rPr>
          <w:rFonts w:ascii="Aptos" w:hAnsi="Aptos"/>
          <w:b w:val="0"/>
          <w:color w:val="162536"/>
          <w:sz w:val="13"/>
        </w:rPr>
        <w:t xml:space="preserve">•  </w:t>
      </w:r>
      <w:r>
        <w:rPr>
          <w:rFonts w:ascii="Aptos" w:hAnsi="Aptos"/>
          <w:color w:val="162536"/>
          <w:sz w:val="13"/>
        </w:rPr>
        <w:t>Metz, Thaddeus (2011): Ubuntu as a Moral Theory and Human Rights in South Africa.</w:t>
      </w:r>
    </w:p>
    <w:p>
      <w:pPr>
        <w:spacing w:after="60"/>
        <w:ind w:left="312" w:hanging="312"/>
        <w:jc w:val="both"/>
      </w:pPr>
      <w:r>
        <w:rPr>
          <w:rFonts w:ascii="Aptos" w:hAnsi="Aptos"/>
          <w:b w:val="0"/>
          <w:color w:val="162536"/>
          <w:sz w:val="13"/>
        </w:rPr>
        <w:t xml:space="preserve">•  </w:t>
      </w:r>
      <w:r>
        <w:rPr>
          <w:rFonts w:ascii="Aptos" w:hAnsi="Aptos"/>
          <w:color w:val="162536"/>
          <w:sz w:val="13"/>
        </w:rPr>
        <w:t>Eze, Michael Onyebuchi (2018/2023): I am because you are. UNESCO.</w:t>
      </w:r>
    </w:p>
    <w:p>
      <w:pPr>
        <w:spacing w:after="60"/>
        <w:ind w:left="312" w:hanging="312"/>
        <w:jc w:val="both"/>
      </w:pPr>
      <w:r>
        <w:rPr>
          <w:rFonts w:ascii="Aptos" w:hAnsi="Aptos"/>
          <w:b w:val="0"/>
          <w:color w:val="162536"/>
          <w:sz w:val="13"/>
        </w:rPr>
        <w:t xml:space="preserve">•  </w:t>
      </w:r>
      <w:r>
        <w:rPr>
          <w:rFonts w:ascii="Aptos" w:hAnsi="Aptos"/>
          <w:color w:val="162536"/>
          <w:sz w:val="13"/>
        </w:rPr>
        <w:t>Pellicanò, Elisa Ivana (2019): Representing Japanese Hospitality. Journal of International and Advanced Japanese Studies 11.</w:t>
      </w:r>
    </w:p>
    <w:p>
      <w:pPr>
        <w:pStyle w:val="Heading2"/>
      </w:pPr>
      <w:r>
        <w:t>Transparenz</w:t>
      </w:r>
    </w:p>
    <w:p>
      <w:pPr>
        <w:spacing w:after="0"/>
        <w:jc w:val="both"/>
      </w:pPr>
      <w:r>
        <w:rPr>
          <w:rFonts w:ascii="Aptos" w:hAnsi="Aptos"/>
          <w:i w:val="0"/>
          <w:color w:val="162536"/>
          <w:sz w:val="20"/>
        </w:rPr>
        <w:t>Die Resonanzgestaltung ordnet die Untersuchung visuell. Resonanz ist kein Messwert. Die Berichte wurden aus dem eingefrorenen Forschungsstand erzeugt und vollständig gerendert; maschinenlesbare Register bleiben für Einzelbefunde maßgeblich. Atlasintegration, öffentliche Freigabe und Deployment sind nicht Bestandteil dieses Berichts.</w:t>
      </w:r>
    </w:p>
    <w:p>
      <w:pPr>
        <w:keepNext/>
        <w:spacing w:before="0" w:after="0"/>
        <w:ind w:firstLine="0" w:left="-180" w:right="0"/>
        <w:jc w:val="left"/>
      </w:pPr>
      <w:r>
        <w:drawing>
          <wp:inline xmlns:a="http://schemas.openxmlformats.org/drawingml/2006/main" xmlns:pic="http://schemas.openxmlformats.org/drawingml/2006/picture">
            <wp:extent cx="6296660" cy="2182842"/>
            <wp:docPr id="7" name="Picture 7" title="Schlussgrafik mit Resonanzlinien und Knoten" descr="Schlussgrafik mit Resonanzlinien und Knoten"/>
            <wp:cNvGraphicFramePr>
              <a:graphicFrameLocks noChangeAspect="1"/>
            </wp:cNvGraphicFramePr>
            <a:graphic>
              <a:graphicData uri="http://schemas.openxmlformats.org/drawingml/2006/picture">
                <pic:pic>
                  <pic:nvPicPr>
                    <pic:cNvPr id="0" name="image.png"/>
                    <pic:cNvPicPr/>
                  </pic:nvPicPr>
                  <pic:blipFill>
                    <a:blip r:embed="rId42"/>
                    <a:stretch>
                      <a:fillRect/>
                    </a:stretch>
                  </pic:blipFill>
                  <pic:spPr>
                    <a:xfrm>
                      <a:off x="0" y="0"/>
                      <a:ext cx="6296660" cy="2182842"/>
                    </a:xfrm>
                    <a:prstGeom prst="rect"/>
                  </pic:spPr>
                </pic:pic>
              </a:graphicData>
            </a:graphic>
          </wp:inline>
        </w:drawing>
      </w:r>
    </w:p>
    <w:p>
      <w:pPr>
        <w:spacing w:after="80"/>
        <w:jc w:val="center"/>
      </w:pPr>
      <w:r>
        <w:rPr>
          <w:rFonts w:ascii="Aptos" w:hAnsi="Aptos"/>
          <w:color w:val="5D6B75"/>
          <w:sz w:val="15"/>
        </w:rPr>
        <w:t>Schlussbild · Übersetzen heißt Unterschiede sichtbar in Beziehung setzen.</w:t>
      </w:r>
    </w:p>
    <w:sectPr w:rsidR="00FC693F" w:rsidRPr="0006063C" w:rsidSect="00034616">
      <w:headerReference w:type="default" r:id="rId18"/>
      <w:footerReference w:type="default" r:id="rId19"/>
      <w:pgSz w:w="12240" w:h="15840"/>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4248" w:val="center"/>
        <w:tab w:pos="8712" w:val="right"/>
      </w:tabs>
    </w:pPr>
    <w:r>
      <w:rPr>
        <w:rFonts w:ascii="Aptos" w:hAnsi="Aptos"/>
        <w:b/>
        <w:color w:val="C79A3B"/>
        <w:sz w:val="14"/>
      </w:rPr>
      <w:t>ATELIER DER RESONANZEN</w:t>
    </w:r>
    <w:r>
      <w:rPr>
        <w:rFonts w:ascii="Aptos" w:hAnsi="Aptos"/>
        <w:color w:val="4FAEA8"/>
        <w:sz w:val="14"/>
      </w:rPr>
      <w:tab/>
      <w:t>RESONANZSTROM  ·  ───●──────●──</w:t>
    </w:r>
    <w:r>
      <w:rPr>
        <w:rFonts w:ascii="Aptos" w:hAnsi="Aptos"/>
        <w:b/>
        <w:color w:val="C79A3B"/>
        <w:sz w:val="14"/>
      </w:rPr>
      <w:tab/>
      <w:t xml:space="preserve">DE  ·  </w:t>
    </w:r>
    <w:r>
      <w:rPr>
        <w:rFonts w:ascii="Aptos" w:hAnsi="Aptos"/>
        <w:b/>
        <w:color w:val="C79A3B"/>
        <w:sz w:val="14"/>
      </w:rPr>
      <w:fldChar w:fldCharType="begin"/>
      <w:instrText> PAGE </w:instrText>
      <w:fldChar w:fldCharType="separate"/>
      <w:t>2</w:t>
      <w:fldChar w:fldCharType="end"/>
    </w:r>
  </w:p>
</w:ftr>
</file>

<file path=word/footer4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rFonts w:ascii="Aptos" w:hAnsi="Aptos"/>
        <w:b/>
        <w:color w:val="C79A3B"/>
        <w:sz w:val="16"/>
      </w:rPr>
      <w:t>●  ATLAS DER SPRACHE  ·  CASSIN</w:t>
    </w:r>
  </w:p>
</w:hdr>
</file>

<file path=word/header4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4" w:lineRule="auto"/>
      <w:jc w:val="both"/>
    </w:pPr>
    <w:rPr>
      <w:rFonts w:ascii="Aptos" w:hAnsi="Aptos"/>
      <w:color w:val="1625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000000"/>
      <w:sz w:val="37"/>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Display" w:hAnsi="Aptos Display"/>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40" w:lineRule="auto" w:before="160"/>
      <w:contextualSpacing/>
    </w:pPr>
    <w:rPr>
      <w:rFonts w:asciiTheme="majorHAnsi" w:eastAsiaTheme="majorEastAsia" w:hAnsiTheme="majorHAnsi" w:cstheme="majorBidi" w:ascii="Aptos Display" w:hAnsi="Aptos Display"/>
      <w:b/>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42" Type="http://schemas.openxmlformats.org/officeDocument/2006/relationships/image" Target="media/image12.png"/><Relationship Id="rId102" Type="http://schemas.openxmlformats.org/officeDocument/2006/relationships/header" Target="header42.xml"/><Relationship Id="rId103" Type="http://schemas.openxmlformats.org/officeDocument/2006/relationships/footer" Target="footer42.xml"/><Relationship Id="rId17" Type="http://schemas.openxmlformats.org/officeDocument/2006/relationships/image" Target="media/image6.png"/><Relationship Id="rId18" Type="http://schemas.openxmlformats.org/officeDocument/2006/relationships/header" Target="header2.xml"/><Relationship Id="rId19" Type="http://schemas.openxmlformats.org/officeDocument/2006/relationships/footer" Target="footer2.xml"/><Relationship Id="rId20" Type="http://schemas.openxmlformats.org/officeDocument/2006/relationships/image" Target="media/image7.png"/><Relationship Id="rId21" Type="http://schemas.openxmlformats.org/officeDocument/2006/relationships/image" Target="media/image9.png"/><Relationship Id="rId22" Type="http://schemas.openxmlformats.org/officeDocument/2006/relationships/image" Target="media/image13.png"/><Relationship Id="rId23" Type="http://schemas.openxmlformats.org/officeDocument/2006/relationships/image" Target="media/image14.png"/><Relationship Id="rId2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Cassin und die Arbeit der Unübersetzbarkeit</dc:title>
  <dc:subject>Forschungsbericht zu zwölf Begriffsfällen, 24 Übersetzungswegen und den Gates C0 bis C6</dc:subject>
  <dc:creator>Michael Reich</dc:creator>
  <cp:keywords>Cassin, untranslatability, non-equivalence, Atlas der Sprache, translation studies</cp:keywords>
  <dc:description>generated by python-docx</dc:description>
  <cp:lastModifiedBy/>
  <cp:revision>1</cp:revision>
  <dcterms:created xsi:type="dcterms:W3CDTF">2013-12-23T23:15:00Z</dcterms:created>
  <dcterms:modified xsi:type="dcterms:W3CDTF">2013-12-23T23:15:00Z</dcterms:modified>
  <cp:category/>
</cp:coreProperties>
</file>