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line="240" w:lineRule="auto"/>
        <w:jc w:val="center"/>
      </w:pPr>
      <w:r>
        <w:rPr>
          <w:rFonts w:ascii="Linux Libertine G" w:hAnsi="Linux Libertine G" w:eastAsia="Linux Libertine G" w:cs="Linux Libertine G"/>
          <w:color w:val="162536"/>
          <w:sz w:val="20"/>
        </w:rPr>
        <w:drawing>
          <wp:inline xmlns:a="http://schemas.openxmlformats.org/drawingml/2006/main" xmlns:pic="http://schemas.openxmlformats.org/drawingml/2006/picture">
            <wp:extent cx="7560000" cy="10692000"/>
            <wp:docPr id="1" name="Picture 1" descr="Resonanz-style cover for the German HTE research report"/>
            <wp:cNvGraphicFramePr>
              <a:graphicFrameLocks noChangeAspect="1"/>
            </wp:cNvGraphicFramePr>
            <a:graphic>
              <a:graphicData uri="http://schemas.openxmlformats.org/drawingml/2006/picture">
                <pic:pic>
                  <pic:nvPicPr>
                    <pic:cNvPr id="0" name="hte_cover_de.png"/>
                    <pic:cNvPicPr/>
                  </pic:nvPicPr>
                  <pic:blipFill>
                    <a:blip r:embed="rId9"/>
                    <a:stretch>
                      <a:fillRect/>
                    </a:stretch>
                  </pic:blipFill>
                  <pic:spPr>
                    <a:xfrm>
                      <a:off x="0" y="0"/>
                      <a:ext cx="7560000" cy="10692000"/>
                    </a:xfrm>
                    <a:prstGeom prst="rect"/>
                  </pic:spPr>
                </pic:pic>
              </a:graphicData>
            </a:graphic>
          </wp:inline>
        </w:drawing>
      </w:r>
    </w:p>
    <w:p>
      <w:pPr>
        <w:sectPr>
          <w:pgSz w:w="11906" w:h="16838"/>
          <w:pgMar w:top="0" w:right="0" w:bottom="0" w:left="0" w:header="0" w:footer="0" w:gutter="0"/>
          <w:cols w:space="720"/>
          <w:docGrid w:linePitch="360"/>
        </w:sectPr>
      </w:pPr>
    </w:p>
    <w:p>
      <w:pPr>
        <w:spacing w:after="140"/>
      </w:pPr>
      <w:r>
        <w:rPr>
          <w:rFonts w:ascii="Frank Ruhl Hofshi" w:hAnsi="Frank Ruhl Hofshi" w:eastAsia="Frank Ruhl Hofshi" w:cs="Frank Ruhl Hofshi"/>
          <w:b/>
          <w:color w:val="C79A3B"/>
          <w:sz w:val="16"/>
        </w:rPr>
        <w:t>DEUTSCHE FORSCHUNGSEDITION  ·  VERSION 1.2</w:t>
      </w:r>
    </w:p>
    <w:p>
      <w:pPr>
        <w:pStyle w:val="Title"/>
      </w:pPr>
      <w:r>
        <w:t>Historical Thesaurus of English und der Atlas der Sprache</w:t>
      </w:r>
    </w:p>
    <w:p>
      <w:pPr>
        <w:spacing w:before="0" w:after="100" w:line="20" w:lineRule="exact"/>
        <w:pBdr>
          <w:bottom w:val="single" w:sz="10" w:space="1" w:color="3A73C9"/>
        </w:pBdr>
      </w:pPr>
    </w:p>
    <w:p>
      <w:pPr>
        <w:pStyle w:val="Subtitle"/>
        <w:jc w:val="left"/>
      </w:pPr>
      <w:r>
        <w:t>Abschlussbericht des HTF Forschungsstrangs und kanonische Evidenzintegration</w:t>
      </w:r>
    </w:p>
    <w:p>
      <w:pPr>
        <w:spacing w:after="160"/>
      </w:pPr>
      <w:r>
        <w:rPr>
          <w:rFonts w:ascii="Linux Libertine G" w:hAnsi="Linux Libertine G" w:eastAsia="Linux Libertine G" w:cs="Linux Libertine G"/>
          <w:color w:val="162536"/>
          <w:sz w:val="20"/>
        </w:rPr>
        <w:t>Michael Reich  ·  Atlas der Sprache  ·  11. September 2026</w:t>
      </w:r>
    </w:p>
    <w:p>
      <w:pPr>
        <w:pStyle w:val="Heading1"/>
      </w:pPr>
      <w:r>
        <w:t>Zusammenfassung</w:t>
      </w:r>
    </w:p>
    <w:p>
      <w:pPr>
        <w:jc w:val="both"/>
      </w:pPr>
      <w:r>
        <w:rPr>
          <w:rFonts w:ascii="Linux Libertine G" w:hAnsi="Linux Libertine G" w:eastAsia="Linux Libertine G" w:cs="Linux Libertine G"/>
          <w:color w:val="162536"/>
          <w:sz w:val="20"/>
        </w:rPr>
        <w:t xml:space="preserve">Der HTF-Forschungsstrang untersucht, wie das </w:t>
      </w:r>
      <w:r>
        <w:rPr>
          <w:rFonts w:ascii="Linux Libertine G" w:hAnsi="Linux Libertine G" w:eastAsia="Linux Libertine G" w:cs="Linux Libertine G"/>
          <w:i/>
          <w:color w:val="162536"/>
          <w:sz w:val="20"/>
        </w:rPr>
        <w:t>Historical Thesaurus of English</w:t>
      </w:r>
      <w:r>
        <w:rPr>
          <w:rFonts w:ascii="Linux Libertine G" w:hAnsi="Linux Libertine G" w:eastAsia="Linux Libertine G" w:cs="Linux Libertine G"/>
          <w:color w:val="162536"/>
          <w:sz w:val="20"/>
        </w:rPr>
        <w:t xml:space="preserve"> (HTE) als historische Evidenzquelle in den Atlas der Sprache eingebunden werden kann, ohne die semantische Hierarchie des HTE mit der internen Ontologie des Atlas gleichzusetzen. Ein bewusst ausgewähltes Pilotkorpus von 28 Atlasbegriffen wurde anhand der HTE-Version 5.0 recherchiert, auf Scope, Polysemie, zeitliche Beleglage und Abstraktionsebene geprüft und in einem mehrstufigen KI-Review gegengelesen. Das Ergebnis unterscheidet 21 für eine Evidenzverknüpfung angenommene Fälle, vier reine Kontextbefunde und drei dokumentierte Negativbefunde. Innerhalb der 21 angenommenen Fälle wurden zehn direkte, vier HTE-breitere und sieben HTE-engere Zuordnungen bestätigt. Der kontrollierte Accepted-Import ergänzte ausschließlich 21 Evidenzdatensätze; er änderte weder Atlasbegriffe noch Definitionen, interne Relationen, Übersetzungen oder Crosswalk-Schichten. Die Evidenz-IDs 1719 bis 1739 sind durch den unveränderten Paket-Hash gebunden. Nach der späteren WordNet-Konsolidierung bleibt der HTE-Beitrag im aktuellen Atlas-9.0.0-Rücklesestand vollständig erhalten: 21 HTE-Evidenzen innerhalb von insgesamt 1.739 Evidenzen. Der Forschungsstrang zeigt damit, dass historische Thesauri besonders stark als quellennahe Provenienz- und Bedeutungsraum-Evidenz wirken, aber nur dann sicher integrierbar sind, wenn direkte Entsprechung, Oberbegriff, Unterbegriff, Kontextnähe und Nichtübereinstimmung getrennt geführt werden.</w:t>
      </w:r>
    </w:p>
    <w:p>
      <w:pPr>
        <w:jc w:val="both"/>
      </w:pPr>
      <w:r>
        <w:rPr>
          <w:rFonts w:ascii="Linux Libertine G" w:hAnsi="Linux Libertine G" w:eastAsia="Linux Libertine G" w:cs="Linux Libertine G"/>
          <w:b/>
          <w:color w:val="162536"/>
          <w:sz w:val="20"/>
        </w:rPr>
        <w:t>Schlüsselwörter:</w:t>
      </w:r>
      <w:r>
        <w:rPr>
          <w:rFonts w:ascii="Linux Libertine G" w:hAnsi="Linux Libertine G" w:eastAsia="Linux Libertine G" w:cs="Linux Libertine G"/>
          <w:color w:val="162536"/>
          <w:sz w:val="20"/>
        </w:rPr>
        <w:t xml:space="preserve"> Historical Thesaurus of English; HTE; historische Semantik; Bedeutungswandel; Evidenz; Scope; Polysemie; kontrollierter Import; Provenienz; Atlas der Sprache.</w:t>
      </w:r>
    </w:p>
    <w:tbl>
      <w:tblPr>
        <w:tblW w:type="auto" w:w="0"/>
        <w:jc w:val="center"/>
        <w:tblLayout w:type="fixed"/>
        <w:tblLook w:firstColumn="1" w:firstRow="1" w:lastColumn="0" w:lastRow="0" w:noHBand="0" w:noVBand="1" w:val="04A0"/>
      </w:tblPr>
      <w:tblGrid>
        <w:gridCol w:w="4791"/>
        <w:gridCol w:w="4791"/>
      </w:tblGrid>
      <w:tr>
        <w:trPr>
          <w:cantSplit/>
          <w:tblHeader w:val="true"/>
        </w:trPr>
        <w:tc>
          <w:tcPr>
            <w:tcW w:type="dxa" w:w="5783"/>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8"/>
              </w:rPr>
              <w:t>Kennzahl</w:t>
            </w:r>
          </w:p>
        </w:tc>
        <w:tc>
          <w:tcPr>
            <w:tcW w:type="dxa" w:w="3458"/>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8"/>
              </w:rPr>
              <w:t>Wert</w:t>
            </w:r>
          </w:p>
        </w:tc>
      </w:tr>
      <w:tr>
        <w:trPr>
          <w:cantSplit/>
        </w:trPr>
        <w:tc>
          <w:tcPr>
            <w:tcW w:type="dxa" w:w="5783"/>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color w:val="162536"/>
                <w:sz w:val="18"/>
              </w:rPr>
              <w:t>Ausgewählte Pilotbegriffe</w:t>
            </w:r>
          </w:p>
        </w:tc>
        <w:tc>
          <w:tcPr>
            <w:tcW w:type="dxa" w:w="3458"/>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8"/>
              </w:rPr>
              <w:t>28</w:t>
            </w:r>
          </w:p>
        </w:tc>
      </w:tr>
      <w:tr>
        <w:trPr>
          <w:cantSplit/>
        </w:trPr>
        <w:tc>
          <w:tcPr>
            <w:tcW w:type="dxa" w:w="5783"/>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color w:val="162536"/>
                <w:sz w:val="18"/>
              </w:rPr>
              <w:t>Angenommene HTE-Evidenzen</w:t>
            </w:r>
          </w:p>
        </w:tc>
        <w:tc>
          <w:tcPr>
            <w:tcW w:type="dxa" w:w="3458"/>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8"/>
              </w:rPr>
              <w:t>21</w:t>
            </w:r>
          </w:p>
        </w:tc>
      </w:tr>
      <w:tr>
        <w:trPr>
          <w:cantSplit/>
        </w:trPr>
        <w:tc>
          <w:tcPr>
            <w:tcW w:type="dxa" w:w="5783"/>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color w:val="162536"/>
                <w:sz w:val="18"/>
              </w:rPr>
              <w:t>Kontextbefunde / Negativbefunde</w:t>
            </w:r>
          </w:p>
        </w:tc>
        <w:tc>
          <w:tcPr>
            <w:tcW w:type="dxa" w:w="3458"/>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8"/>
              </w:rPr>
              <w:t>4 / 3</w:t>
            </w:r>
          </w:p>
        </w:tc>
      </w:tr>
      <w:tr>
        <w:trPr>
          <w:cantSplit/>
        </w:trPr>
        <w:tc>
          <w:tcPr>
            <w:tcW w:type="dxa" w:w="5783"/>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color w:val="162536"/>
                <w:sz w:val="18"/>
              </w:rPr>
              <w:t>Direkt / HTE breiter / HTE enger</w:t>
            </w:r>
          </w:p>
        </w:tc>
        <w:tc>
          <w:tcPr>
            <w:tcW w:type="dxa" w:w="3458"/>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8"/>
              </w:rPr>
              <w:t>10 / 4 / 7</w:t>
            </w:r>
          </w:p>
        </w:tc>
      </w:tr>
      <w:tr>
        <w:trPr>
          <w:cantSplit/>
        </w:trPr>
        <w:tc>
          <w:tcPr>
            <w:tcW w:type="dxa" w:w="5783"/>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color w:val="162536"/>
                <w:sz w:val="18"/>
              </w:rPr>
              <w:t>Aktueller Evidenzbestand</w:t>
            </w:r>
          </w:p>
        </w:tc>
        <w:tc>
          <w:tcPr>
            <w:tcW w:type="dxa" w:w="3458"/>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8"/>
              </w:rPr>
              <w:t>1.739</w:t>
            </w:r>
          </w:p>
        </w:tc>
      </w:tr>
    </w:tbl>
    <w:p>
      <w:pPr>
        <w:spacing w:after="20"/>
      </w:pPr>
    </w:p>
    <w:tbl>
      <w:tblPr>
        <w:tblW w:type="auto" w:w="0"/>
        <w:jc w:val="center"/>
        <w:tblLook w:firstColumn="1" w:firstRow="1" w:lastColumn="0" w:lastRow="0" w:noHBand="0" w:noVBand="1" w:val="04A0"/>
      </w:tblPr>
      <w:tblGrid>
        <w:gridCol w:w="9582"/>
      </w:tblGrid>
      <w:tr>
        <w:tc>
          <w:tcPr>
            <w:tcW w:type="dxa" w:w="9582"/>
            <w:shd w:fill="E6EEF3"/>
            <w:tcBorders>
              <w:top w:val="single" w:sz="5" w:color="E6EEF3"/>
              <w:left w:val="single" w:sz="5" w:color="E6EEF3"/>
              <w:bottom w:val="single" w:sz="5" w:color="E6EEF3"/>
              <w:right w:val="single" w:sz="5" w:color="E6EEF3"/>
              <w:insideH w:val="single" w:sz="5" w:color="E6EEF3"/>
              <w:insideV w:val="single" w:sz="5" w:color="E6EEF3"/>
            </w:tcBorders>
            <w:tcMar>
              <w:top w:w="90" w:type="dxa"/>
              <w:start w:w="110" w:type="dxa"/>
              <w:bottom w:w="90" w:type="dxa"/>
              <w:end w:w="110" w:type="dxa"/>
            </w:tcMar>
          </w:tcPr>
          <w:p>
            <w:pPr>
              <w:spacing w:after="0"/>
            </w:pPr>
            <w:r>
              <w:rPr>
                <w:rFonts w:ascii="Frank Ruhl Hofshi" w:hAnsi="Frank Ruhl Hofshi" w:eastAsia="Frank Ruhl Hofshi" w:cs="Frank Ruhl Hofshi"/>
                <w:b/>
                <w:color w:val="C79A3B"/>
                <w:sz w:val="16"/>
              </w:rPr>
              <w:t>BERICHTSPROFIL</w:t>
              <w:br/>
            </w:r>
            <w:r>
              <w:rPr>
                <w:rFonts w:ascii="Linux Libertine G" w:hAnsi="Linux Libertine G" w:eastAsia="Linux Libertine G" w:cs="Linux Libertine G"/>
                <w:color w:val="162536"/>
                <w:sz w:val="19"/>
              </w:rPr>
              <w:t>Forschung: gezielter Pilot mit 28 Atlasbegriffen. Kanonische Leseschicht: 21 scope-typisierte HTE-Evidenzen. Wirkung dieses Berichts: Forschungsabschluss und Dokumentation; keine externe Publikation.</w:t>
            </w:r>
          </w:p>
          <w:p>
            <w:pPr>
              <w:spacing w:before="80" w:after="0"/>
            </w:pPr>
            <w:r>
              <w:rPr>
                <w:rFonts w:ascii="Frank Ruhl Hofshi" w:hAnsi="Frank Ruhl Hofshi" w:eastAsia="Frank Ruhl Hofshi" w:cs="Frank Ruhl Hofshi"/>
                <w:b/>
                <w:color w:val="C79A3B"/>
                <w:sz w:val="15"/>
              </w:rPr>
              <w:t>PAKETBINDUNG</w:t>
              <w:br/>
            </w:r>
            <w:r>
              <w:rPr>
                <w:rFonts w:ascii="Courier New" w:hAnsi="Courier New" w:eastAsia="Courier New" w:cs="Courier New"/>
                <w:color w:val="162536"/>
                <w:sz w:val="13"/>
              </w:rPr>
              <w:t>ATLAS-INBOX-HTE-PILOT-V1-EVIDENCE-0001</w:t>
              <w:br/>
            </w:r>
            <w:r>
              <w:rPr>
                <w:rFonts w:ascii="Courier New" w:hAnsi="Courier New" w:eastAsia="Courier New" w:cs="Courier New"/>
                <w:color w:val="162536"/>
                <w:sz w:val="13"/>
              </w:rPr>
              <w:t>96d2a546a0fb13700ec3f63d8dcca9657394c32ca665be252347f488d1f36bb0</w:t>
            </w:r>
          </w:p>
        </w:tc>
      </w:tr>
    </w:tbl>
    <w:p/>
    <w:p>
      <w:r>
        <w:rPr>
          <w:rFonts w:ascii="Linux Libertine G" w:hAnsi="Linux Libertine G" w:eastAsia="Linux Libertine G" w:cs="Linux Libertine G"/>
          <w:color w:val="162536"/>
          <w:sz w:val="20"/>
        </w:rPr>
        <w:br w:type="page"/>
      </w:r>
    </w:p>
    <w:p>
      <w:pPr>
        <w:keepNext/>
        <w:spacing w:after="40"/>
        <w:jc w:val="center"/>
      </w:pPr>
      <w:r>
        <w:rPr>
          <w:rFonts w:ascii="Linux Libertine G" w:hAnsi="Linux Libertine G" w:eastAsia="Linux Libertine G" w:cs="Linux Libertine G"/>
          <w:color w:val="162536"/>
          <w:sz w:val="20"/>
        </w:rPr>
        <w:drawing>
          <wp:inline xmlns:a="http://schemas.openxmlformats.org/drawingml/2006/main" xmlns:pic="http://schemas.openxmlformats.org/drawingml/2006/picture">
            <wp:extent cx="5868000" cy="3207840"/>
            <wp:docPr id="2" name="Picture 2" descr="Prozessgrafik mit 28 Pilotbegriffen, 28 KI-geprüften Fällen, 21 Owner-Annahmen und 21 kanonischen Evidenzen; vier Kontext- und drei Negativfälle bleiben außerhalb des Imports."/>
            <wp:cNvGraphicFramePr>
              <a:graphicFrameLocks noChangeAspect="1"/>
            </wp:cNvGraphicFramePr>
            <a:graphic>
              <a:graphicData uri="http://schemas.openxmlformats.org/drawingml/2006/picture">
                <pic:pic>
                  <pic:nvPicPr>
                    <pic:cNvPr id="0" name="hte_funnel_de.png"/>
                    <pic:cNvPicPr/>
                  </pic:nvPicPr>
                  <pic:blipFill>
                    <a:blip r:embed="rId12"/>
                    <a:stretch>
                      <a:fillRect/>
                    </a:stretch>
                  </pic:blipFill>
                  <pic:spPr>
                    <a:xfrm>
                      <a:off x="0" y="0"/>
                      <a:ext cx="5868000" cy="3207840"/>
                    </a:xfrm>
                    <a:prstGeom prst="rect"/>
                  </pic:spPr>
                </pic:pic>
              </a:graphicData>
            </a:graphic>
          </wp:inline>
        </w:drawing>
      </w:r>
    </w:p>
    <w:p>
      <w:pPr>
        <w:keepLines/>
        <w:spacing w:after="140"/>
        <w:jc w:val="center"/>
      </w:pPr>
      <w:r>
        <w:rPr>
          <w:rFonts w:ascii="Linux Libertine G" w:hAnsi="Linux Libertine G" w:eastAsia="Linux Libertine G" w:cs="Linux Libertine G"/>
          <w:i/>
          <w:color w:val="5D6B75"/>
          <w:sz w:val="15"/>
        </w:rPr>
        <w:t>Abb. 1  Vom Pilotkorpus zur kanonischen HTE-Evidenz.</w:t>
      </w:r>
    </w:p>
    <w:p>
      <w:pPr>
        <w:pStyle w:val="Heading1"/>
      </w:pPr>
      <w:r>
        <w:t>1 Forschungsfrage und Geltungsbereich</w:t>
      </w:r>
    </w:p>
    <w:p>
      <w:pPr>
        <w:jc w:val="both"/>
      </w:pPr>
      <w:r>
        <w:rPr>
          <w:rFonts w:ascii="Linux Libertine G" w:hAnsi="Linux Libertine G" w:eastAsia="Linux Libertine G" w:cs="Linux Libertine G"/>
          <w:color w:val="162536"/>
          <w:sz w:val="20"/>
        </w:rPr>
        <w:t xml:space="preserve">Die Leitfrage lautet: </w:t>
      </w:r>
      <w:r>
        <w:rPr>
          <w:rFonts w:ascii="Linux Libertine G" w:hAnsi="Linux Libertine G" w:eastAsia="Linux Libertine G" w:cs="Linux Libertine G"/>
          <w:b/>
          <w:color w:val="162536"/>
          <w:sz w:val="20"/>
        </w:rPr>
        <w:t>Wie kann ein historisch gegliederter englischer Bedeutungsbestand den Atlas der Sprache empirisch stärken, ohne externe Kategorien vorschnell als identische Atlasbegriffe zu behandeln?</w:t>
      </w:r>
      <w:r>
        <w:rPr>
          <w:rFonts w:ascii="Linux Libertine G" w:hAnsi="Linux Libertine G" w:eastAsia="Linux Libertine G" w:cs="Linux Libertine G"/>
          <w:color w:val="162536"/>
          <w:sz w:val="20"/>
        </w:rPr>
        <w:t xml:space="preserve"> Der Pilot ist keine Vollerhebung des HTE und keine statistisch repräsentative Stichprobe. Er ist ein methodischer Belastungstest an 28 absichtlich verschiedenartigen Atlasbegriffen aus Rhetorik, Pragmatik, Erkenntnistheorie, Erzählformen, Schriftlichkeit, Morphologie, Syntax und Übersetzung.</w:t>
      </w:r>
    </w:p>
    <w:p>
      <w:pPr>
        <w:jc w:val="both"/>
      </w:pPr>
      <w:r>
        <w:rPr>
          <w:rFonts w:ascii="Linux Libertine G" w:hAnsi="Linux Libertine G" w:eastAsia="Linux Libertine G" w:cs="Linux Libertine G"/>
          <w:color w:val="162536"/>
          <w:sz w:val="20"/>
        </w:rPr>
        <w:t>Der Forschungsstrang prüft drei Ebenen getrennt:</w:t>
      </w:r>
    </w:p>
    <w:p>
      <w:pPr>
        <w:keepLines/>
        <w:spacing w:after="40"/>
        <w:ind w:left="312" w:hanging="198"/>
      </w:pPr>
      <w:r>
        <w:rPr>
          <w:rFonts w:ascii="Linux Libertine G" w:hAnsi="Linux Libertine G" w:eastAsia="Linux Libertine G" w:cs="Linux Libertine G"/>
          <w:color w:val="162536"/>
          <w:sz w:val="20"/>
        </w:rPr>
        <w:t xml:space="preserve">•  </w:t>
      </w:r>
      <w:r>
        <w:rPr>
          <w:rFonts w:ascii="Linux Libertine G" w:hAnsi="Linux Libertine G" w:eastAsia="Linux Libertine G" w:cs="Linux Libertine G"/>
          <w:b/>
          <w:color w:val="162536"/>
          <w:sz w:val="20"/>
        </w:rPr>
        <w:t>Quellenebene:</w:t>
      </w:r>
      <w:r>
        <w:rPr>
          <w:rFonts w:ascii="Linux Libertine G" w:hAnsi="Linux Libertine G" w:eastAsia="Linux Libertine G" w:cs="Linux Libertine G"/>
          <w:color w:val="162536"/>
          <w:sz w:val="20"/>
        </w:rPr>
        <w:t xml:space="preserve"> Was weist das HTE in Version 5.0 tatsächlich als historische Kategorie oder belegte Lexikalisierung aus?</w:t>
      </w:r>
    </w:p>
    <w:p>
      <w:pPr>
        <w:keepLines/>
        <w:spacing w:after="40"/>
        <w:ind w:left="312" w:hanging="198"/>
      </w:pPr>
      <w:r>
        <w:rPr>
          <w:rFonts w:ascii="Linux Libertine G" w:hAnsi="Linux Libertine G" w:eastAsia="Linux Libertine G" w:cs="Linux Libertine G"/>
          <w:color w:val="162536"/>
          <w:sz w:val="20"/>
        </w:rPr>
        <w:t xml:space="preserve">•  </w:t>
      </w:r>
      <w:r>
        <w:rPr>
          <w:rFonts w:ascii="Linux Libertine G" w:hAnsi="Linux Libertine G" w:eastAsia="Linux Libertine G" w:cs="Linux Libertine G"/>
          <w:b/>
          <w:color w:val="162536"/>
          <w:sz w:val="20"/>
        </w:rPr>
        <w:t>Interpretationsebene:</w:t>
      </w:r>
      <w:r>
        <w:rPr>
          <w:rFonts w:ascii="Linux Libertine G" w:hAnsi="Linux Libertine G" w:eastAsia="Linux Libertine G" w:cs="Linux Libertine G"/>
          <w:color w:val="162536"/>
          <w:sz w:val="20"/>
        </w:rPr>
        <w:t xml:space="preserve"> Entspricht der externe Bedeutungsraum dem Atlasbegriff direkt, ist er breiter oder enger, oder liefert er nur Kontext?</w:t>
      </w:r>
    </w:p>
    <w:p>
      <w:pPr>
        <w:keepLines/>
        <w:spacing w:after="40"/>
        <w:ind w:left="312" w:hanging="198"/>
      </w:pPr>
      <w:r>
        <w:rPr>
          <w:rFonts w:ascii="Linux Libertine G" w:hAnsi="Linux Libertine G" w:eastAsia="Linux Libertine G" w:cs="Linux Libertine G"/>
          <w:color w:val="162536"/>
          <w:sz w:val="20"/>
        </w:rPr>
        <w:t xml:space="preserve">•  </w:t>
      </w:r>
      <w:r>
        <w:rPr>
          <w:rFonts w:ascii="Linux Libertine G" w:hAnsi="Linux Libertine G" w:eastAsia="Linux Libertine G" w:cs="Linux Libertine G"/>
          <w:b/>
          <w:color w:val="162536"/>
          <w:sz w:val="20"/>
        </w:rPr>
        <w:t>Kanonische Ebene:</w:t>
      </w:r>
      <w:r>
        <w:rPr>
          <w:rFonts w:ascii="Linux Libertine G" w:hAnsi="Linux Libertine G" w:eastAsia="Linux Libertine G" w:cs="Linux Libertine G"/>
          <w:color w:val="162536"/>
          <w:sz w:val="20"/>
        </w:rPr>
        <w:t xml:space="preserve"> Welche geprüfte Aussage darf als additive Evidenz übernommen werden, ohne Atlasidentität oder interne Relationen zu verändern?</w:t>
      </w:r>
    </w:p>
    <w:p>
      <w:pPr>
        <w:jc w:val="both"/>
      </w:pPr>
      <w:r>
        <w:rPr>
          <w:rFonts w:ascii="Linux Libertine G" w:hAnsi="Linux Libertine G" w:eastAsia="Linux Libertine G" w:cs="Linux Libertine G"/>
          <w:color w:val="162536"/>
          <w:sz w:val="20"/>
        </w:rPr>
        <w:t>Nicht Gegenstand waren eine Übernahme der HTE-Klassifikation, ein Massendownload, eine automatische Neudefinition von Atlasbegriffen, eine Veröffentlichung von HTE-Rohdaten oder die Behauptung, englische Wortgeschichte bilde sprachübergreifende Universalien ab.</w:t>
      </w:r>
    </w:p>
    <w:p>
      <w:pPr>
        <w:pStyle w:val="Heading1"/>
      </w:pPr>
      <w:r>
        <w:t>2 Die externe Ressource</w:t>
      </w:r>
    </w:p>
    <w:p>
      <w:pPr>
        <w:jc w:val="both"/>
      </w:pPr>
      <w:r>
        <w:rPr>
          <w:rFonts w:ascii="Linux Libertine G" w:hAnsi="Linux Libertine G" w:eastAsia="Linux Libertine G" w:cs="Linux Libertine G"/>
          <w:color w:val="162536"/>
          <w:sz w:val="20"/>
        </w:rPr>
        <w:t xml:space="preserve">Das HTE ordnet den historischen englischen Wortschatz onomasiologisch, also von Bedeutungsbereichen zu ihren sprachlichen Ausdrücken. Die aktuelle zweite Ausgabe, Version 5.0, verbindet Material aus dem </w:t>
      </w:r>
      <w:r>
        <w:rPr>
          <w:rFonts w:ascii="Linux Libertine G" w:hAnsi="Linux Libertine G" w:eastAsia="Linux Libertine G" w:cs="Linux Libertine G"/>
          <w:i/>
          <w:color w:val="162536"/>
          <w:sz w:val="20"/>
        </w:rPr>
        <w:t>Oxford English Dictionary</w:t>
      </w:r>
      <w:r>
        <w:rPr>
          <w:rFonts w:ascii="Linux Libertine G" w:hAnsi="Linux Libertine G" w:eastAsia="Linux Libertine G" w:cs="Linux Libertine G"/>
          <w:color w:val="162536"/>
          <w:sz w:val="20"/>
        </w:rPr>
        <w:t xml:space="preserve"> und dem </w:t>
      </w:r>
      <w:r>
        <w:rPr>
          <w:rFonts w:ascii="Linux Libertine G" w:hAnsi="Linux Libertine G" w:eastAsia="Linux Libertine G" w:cs="Linux Libertine G"/>
          <w:i/>
          <w:color w:val="162536"/>
          <w:sz w:val="20"/>
        </w:rPr>
        <w:t>Thesaurus of Old English</w:t>
      </w:r>
      <w:r>
        <w:rPr>
          <w:rFonts w:ascii="Linux Libertine G" w:hAnsi="Linux Libertine G" w:eastAsia="Linux Libertine G" w:cs="Linux Libertine G"/>
          <w:color w:val="162536"/>
          <w:sz w:val="20"/>
        </w:rPr>
        <w:t>. Die Klassifikation enthält nach offizieller Beschreibung rund 235.249 Kategorien und 804.830 Einträge in drei großen Bereichen: Außenwelt, mentale Welt und soziale Welt. Die Hierarchie ist semantisch und prototypisch; benachbarte Einträge sind nicht automatisch Synonyme.</w:t>
      </w:r>
    </w:p>
    <w:tbl>
      <w:tblPr>
        <w:tblW w:type="auto" w:w="0"/>
        <w:jc w:val="center"/>
        <w:tblLayout w:type="fixed"/>
        <w:tblLook w:firstColumn="1" w:firstRow="1" w:lastColumn="0" w:lastRow="0" w:noHBand="0" w:noVBand="1" w:val="04A0"/>
      </w:tblPr>
      <w:tblGrid>
        <w:gridCol w:w="3194"/>
        <w:gridCol w:w="3194"/>
        <w:gridCol w:w="3194"/>
      </w:tblGrid>
      <w:tr>
        <w:trPr>
          <w:cantSplit/>
          <w:tblHeader w:val="true"/>
        </w:trPr>
        <w:tc>
          <w:tcPr>
            <w:tcW w:type="dxa" w:w="2551"/>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8"/>
              </w:rPr>
              <w:t>Merkmal</w:t>
            </w:r>
          </w:p>
        </w:tc>
        <w:tc>
          <w:tcPr>
            <w:tcW w:type="dxa" w:w="317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8"/>
              </w:rPr>
              <w:t>Bedeutung für den Atlas</w:t>
            </w:r>
          </w:p>
        </w:tc>
        <w:tc>
          <w:tcPr>
            <w:tcW w:type="dxa" w:w="351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8"/>
              </w:rPr>
              <w:t>Methodische Konsequenz</w:t>
            </w:r>
          </w:p>
        </w:tc>
      </w:tr>
      <w:tr>
        <w:trPr>
          <w:cantSplit/>
        </w:trPr>
        <w:tc>
          <w:tcPr>
            <w:tcW w:type="dxa" w:w="2551"/>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8"/>
              </w:rPr>
              <w:t>Historische Datierung</w:t>
            </w:r>
          </w:p>
        </w:tc>
        <w:tc>
          <w:tcPr>
            <w:tcW w:type="dxa" w:w="317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8"/>
              </w:rPr>
              <w:t>Belegt aufgezeichnete englische Verwendung</w:t>
            </w:r>
          </w:p>
        </w:tc>
        <w:tc>
          <w:tcPr>
            <w:tcW w:type="dxa" w:w="351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8"/>
              </w:rPr>
              <w:t>Datumsangaben nicht als Entstehungsdatum eines universalen Konzepts lesen</w:t>
            </w:r>
          </w:p>
        </w:tc>
      </w:tr>
      <w:tr>
        <w:trPr>
          <w:cantSplit/>
        </w:trPr>
        <w:tc>
          <w:tcPr>
            <w:tcW w:type="dxa" w:w="2551"/>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8"/>
              </w:rPr>
              <w:t>Polyseme Lemmata</w:t>
            </w:r>
          </w:p>
        </w:tc>
        <w:tc>
          <w:tcPr>
            <w:tcW w:type="dxa" w:w="317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8"/>
              </w:rPr>
              <w:t>Ein Wort kann in mehreren Kategorien erscheinen</w:t>
            </w:r>
          </w:p>
        </w:tc>
        <w:tc>
          <w:tcPr>
            <w:tcW w:type="dxa" w:w="351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8"/>
              </w:rPr>
              <w:t>Wortgleichheit allein ist kein Identitätsnachweis</w:t>
            </w:r>
          </w:p>
        </w:tc>
      </w:tr>
      <w:tr>
        <w:trPr>
          <w:cantSplit/>
        </w:trPr>
        <w:tc>
          <w:tcPr>
            <w:tcW w:type="dxa" w:w="2551"/>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8"/>
              </w:rPr>
              <w:t>Hierarchische Kategorien</w:t>
            </w:r>
          </w:p>
        </w:tc>
        <w:tc>
          <w:tcPr>
            <w:tcW w:type="dxa" w:w="317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8"/>
              </w:rPr>
              <w:t>Macht Ober- und Unterordnungen sichtbar</w:t>
            </w:r>
          </w:p>
        </w:tc>
        <w:tc>
          <w:tcPr>
            <w:tcW w:type="dxa" w:w="351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8"/>
              </w:rPr>
              <w:t>Richtung der Scope-Relation ausdrücklich erfassen</w:t>
            </w:r>
          </w:p>
        </w:tc>
      </w:tr>
      <w:tr>
        <w:trPr>
          <w:cantSplit/>
        </w:trPr>
        <w:tc>
          <w:tcPr>
            <w:tcW w:type="dxa" w:w="2551"/>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8"/>
              </w:rPr>
              <w:t>Versionsgebundene Nummerierung</w:t>
            </w:r>
          </w:p>
        </w:tc>
        <w:tc>
          <w:tcPr>
            <w:tcW w:type="dxa" w:w="317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8"/>
              </w:rPr>
              <w:t>Kategorien und Datierung können revidiert werden</w:t>
            </w:r>
          </w:p>
        </w:tc>
        <w:tc>
          <w:tcPr>
            <w:tcW w:type="dxa" w:w="351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8"/>
              </w:rPr>
              <w:t>Version 5.0 und Zugriffsdatum zitieren</w:t>
            </w:r>
          </w:p>
        </w:tc>
      </w:tr>
      <w:tr>
        <w:trPr>
          <w:cantSplit/>
        </w:trPr>
        <w:tc>
          <w:tcPr>
            <w:tcW w:type="dxa" w:w="2551"/>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8"/>
              </w:rPr>
              <w:t>Persistente Kategorie-URLs</w:t>
            </w:r>
          </w:p>
        </w:tc>
        <w:tc>
          <w:tcPr>
            <w:tcW w:type="dxa" w:w="317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8"/>
              </w:rPr>
              <w:t>Ermöglichen prüfbare Einzelverweise</w:t>
            </w:r>
          </w:p>
        </w:tc>
        <w:tc>
          <w:tcPr>
            <w:tcW w:type="dxa" w:w="351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8"/>
              </w:rPr>
              <w:t>URL und recherchierte Kategorie im Evidenzsatz bewahren</w:t>
            </w:r>
          </w:p>
        </w:tc>
      </w:tr>
      <w:tr>
        <w:trPr>
          <w:cantSplit/>
        </w:trPr>
        <w:tc>
          <w:tcPr>
            <w:tcW w:type="dxa" w:w="2551"/>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8"/>
              </w:rPr>
              <w:t>Nutzungsbedingungen</w:t>
            </w:r>
          </w:p>
        </w:tc>
        <w:tc>
          <w:tcPr>
            <w:tcW w:type="dxa" w:w="317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8"/>
              </w:rPr>
              <w:t>Nicht-kommerzielle Forschung und begrenzte Auszüge</w:t>
            </w:r>
          </w:p>
        </w:tc>
        <w:tc>
          <w:tcPr>
            <w:tcW w:type="dxa" w:w="351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8"/>
              </w:rPr>
              <w:t>Keine Rohdatenreplikation; nur kleine, quellenbezogene Befunde dokumentieren</w:t>
            </w:r>
          </w:p>
        </w:tc>
      </w:tr>
    </w:tbl>
    <w:p>
      <w:pPr>
        <w:spacing w:after="20"/>
      </w:pPr>
    </w:p>
    <w:p>
      <w:pPr>
        <w:jc w:val="both"/>
      </w:pPr>
      <w:r>
        <w:rPr>
          <w:rFonts w:ascii="Linux Libertine G" w:hAnsi="Linux Libertine G" w:eastAsia="Linux Libertine G" w:cs="Linux Libertine G"/>
          <w:color w:val="162536"/>
          <w:sz w:val="20"/>
        </w:rPr>
        <w:t xml:space="preserve">Die Ressource wird nach der offiziellen Empfehlung als </w:t>
      </w:r>
      <w:r>
        <w:rPr>
          <w:rFonts w:ascii="Linux Libertine G" w:hAnsi="Linux Libertine G" w:eastAsia="Linux Libertine G" w:cs="Linux Libertine G"/>
          <w:i/>
          <w:color w:val="162536"/>
          <w:sz w:val="20"/>
        </w:rPr>
        <w:t>Historical Thesaurus of English</w:t>
      </w:r>
      <w:r>
        <w:rPr>
          <w:rFonts w:ascii="Linux Libertine G" w:hAnsi="Linux Libertine G" w:eastAsia="Linux Libertine G" w:cs="Linux Libertine G"/>
          <w:color w:val="162536"/>
          <w:sz w:val="20"/>
        </w:rPr>
        <w:t xml:space="preserve">, zweite Ausgabe, Version 5.0, University of Glasgow, mit aktuellem Zugriff und Versionsangabe zitiert. Die dauerhafte Forschungsdatenbeschreibung ist unter </w:t>
      </w:r>
      <w:hyperlink r:id="rId13">
        <w:r>
          <w:rPr>
            <w:color w:val="17365D"/>
            <w:u w:val="single"/>
          </w:rPr>
          <w:t>DOI 10.5525/gla.researchdata.2163</w:t>
        </w:r>
      </w:hyperlink>
      <w:r>
        <w:rPr>
          <w:rFonts w:ascii="Linux Libertine G" w:hAnsi="Linux Libertine G" w:eastAsia="Linux Libertine G" w:cs="Linux Libertine G"/>
          <w:color w:val="162536"/>
          <w:sz w:val="20"/>
        </w:rPr>
        <w:t xml:space="preserve"> erreichbar.</w:t>
      </w:r>
    </w:p>
    <w:p>
      <w:pPr>
        <w:pStyle w:val="Heading1"/>
      </w:pPr>
      <w:r>
        <w:t>3 Daten und Methode</w:t>
      </w:r>
    </w:p>
    <w:p>
      <w:pPr>
        <w:pStyle w:val="Heading2"/>
      </w:pPr>
      <w:r>
        <w:t>3 1 Pilotdesign</w:t>
      </w:r>
    </w:p>
    <w:p>
      <w:pPr>
        <w:jc w:val="both"/>
      </w:pPr>
      <w:r>
        <w:rPr>
          <w:rFonts w:ascii="Linux Libertine G" w:hAnsi="Linux Libertine G" w:eastAsia="Linux Libertine G" w:cs="Linux Libertine G"/>
          <w:color w:val="162536"/>
          <w:sz w:val="20"/>
        </w:rPr>
        <w:t>Die 28 Begriffe wurden nicht zufällig gewählt. Der Satz kombiniert erwartbar gute historische Anker, abstrakte Grenzfälle und negative Kontrollen. Dadurch kann das Verfahren nicht nur Treffer produzieren, sondern auch zeigen, wann ein Import unterbleiben muss.</w:t>
      </w:r>
    </w:p>
    <w:tbl>
      <w:tblPr>
        <w:tblW w:type="auto" w:w="0"/>
        <w:jc w:val="center"/>
        <w:tblLayout w:type="fixed"/>
        <w:tblLook w:firstColumn="1" w:firstRow="1" w:lastColumn="0" w:lastRow="0" w:noHBand="0" w:noVBand="1" w:val="04A0"/>
      </w:tblPr>
      <w:tblGrid>
        <w:gridCol w:w="2395"/>
        <w:gridCol w:w="2395"/>
        <w:gridCol w:w="2395"/>
        <w:gridCol w:w="2395"/>
      </w:tblGrid>
      <w:tr>
        <w:trPr>
          <w:cantSplit/>
          <w:tblHeader w:val="true"/>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5"/>
              </w:rPr>
              <w:t>Prüfschritt</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5"/>
              </w:rPr>
              <w:t>Eingabe</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5"/>
              </w:rPr>
              <w:t>Entscheidungskriterium</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5"/>
              </w:rPr>
              <w:t>Dauerhaftes Ergebnis</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Auswahl</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28 Atlasbegriffe</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thematische Streuung und Risikofälle</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Courier New" w:hAnsi="Courier New"/>
                <w:sz w:val="14"/>
              </w:rPr>
              <w:t>pilot-selection.jsonl</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Quellenrecherche</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HTE v5.0</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Kategorie, Pfad, Datierung, URL</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Courier New" w:hAnsi="Courier New"/>
                <w:sz w:val="14"/>
              </w:rPr>
              <w:t>pilot-crosswalk.jsonl</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Ersttypisierung</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28 Befunde</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direkt, breiter, enger, Kontext, negativ</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Mapping-Vorschlag v0</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KI-Review</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alle 28 Fälle</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Scope, Polysemie, Evidenztext, Fehlzuordnung</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Courier New" w:hAnsi="Courier New"/>
                <w:sz w:val="14"/>
              </w:rPr>
              <w:t>ai-expert-review-v1.jsonl</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Owner-Gate</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21 positive Fälle</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explizite Annahme als evidence-only</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Accepted-Paket</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Dry-run und Import</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unverändertes Paket</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21 Ergänzungen, 0 Dubletten, 0 Konflikte</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Migration 0133</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Rückleseprüfung</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kanonischer Export</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Paket-Hash, IDs, Counts, offene Relationen</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verifizierter Endstand</w:t>
            </w:r>
          </w:p>
        </w:tc>
      </w:tr>
    </w:tbl>
    <w:p>
      <w:pPr>
        <w:spacing w:after="20"/>
      </w:pPr>
    </w:p>
    <w:p>
      <w:pPr>
        <w:pStyle w:val="Heading2"/>
      </w:pPr>
      <w:r>
        <w:t>3 2 Mehrstufiger KI-Expertenreview</w:t>
      </w:r>
    </w:p>
    <w:p>
      <w:pPr>
        <w:jc w:val="both"/>
      </w:pPr>
      <w:r>
        <w:rPr>
          <w:rFonts w:ascii="Linux Libertine G" w:hAnsi="Linux Libertine G" w:eastAsia="Linux Libertine G" w:cs="Linux Libertine G"/>
          <w:color w:val="162536"/>
          <w:sz w:val="20"/>
        </w:rPr>
        <w:t>Da ein menschliches externes Gutachten für das private Projekt wirtschaftlich nicht tragbar ist, wurde ein dokumentierter KI-Review als proportionale Qualitätssicherung eingesetzt. Der Review simulierte vier voneinander getrennte Perspektiven: historische Lexikographie, semantische Scope-Prüfung, Datenprovenienz und kanonische Integrationssicherheit. Die KI hatte keine Annahmebefugnis. Drei Mappingtypen wurden korrigiert; vier Fälle wurden auf Kontextstatus zurückgestuft. Die abschließende Annahme der 21 Evidenzsätze blieb eine ausdrückliche Owner-Entscheidung.</w:t>
      </w:r>
    </w:p>
    <w:p>
      <w:pPr>
        <w:jc w:val="both"/>
      </w:pPr>
      <w:r>
        <w:rPr>
          <w:rFonts w:ascii="Linux Libertine G" w:hAnsi="Linux Libertine G" w:eastAsia="Linux Libertine G" w:cs="Linux Libertine G"/>
          <w:color w:val="162536"/>
          <w:sz w:val="20"/>
        </w:rPr>
        <w:t>Dieser Ersatz ist kein anonymes Human-Peer-Review und wird nicht als solches dargestellt. Seine Stärke liegt in der reproduzierbaren Gegenprüfung aller Fälle, der sichtbaren Begründung abweichender Urteile und der Trennung zwischen Empfehlung und Freigabe.</w:t>
      </w:r>
    </w:p>
    <w:p>
      <w:pPr>
        <w:pStyle w:val="Heading1"/>
      </w:pPr>
      <w:r>
        <w:t>4 Ergebnisse</w:t>
      </w:r>
    </w:p>
    <w:p>
      <w:pPr>
        <w:jc w:val="both"/>
      </w:pPr>
      <w:r>
        <w:rPr>
          <w:rFonts w:ascii="Linux Libertine G" w:hAnsi="Linux Libertine G" w:eastAsia="Linux Libertine G" w:cs="Linux Libertine G"/>
          <w:color w:val="162536"/>
          <w:sz w:val="20"/>
        </w:rPr>
        <w:t>Von 28 untersuchten Atlasbegriffen wurden 21 als kanonische HTE-Evidenz angenommen. Vier Befunde sind nützlicher Forschungskontext, aber nicht präzise genug für eine Evidenzbindung. Drei Begriffe ergaben keinen tragfähigen HTE-Anker. Die Annahmequote von 75 Prozent beschreibt nur diesen gezielt konstruierten Pilot und darf nicht auf den gesamten Atlas hochgerechnet werden.</w:t>
      </w:r>
    </w:p>
    <w:p>
      <w:pPr>
        <w:keepNext/>
        <w:spacing w:after="40"/>
        <w:jc w:val="center"/>
      </w:pPr>
      <w:r>
        <w:rPr>
          <w:rFonts w:ascii="Linux Libertine G" w:hAnsi="Linux Libertine G" w:eastAsia="Linux Libertine G" w:cs="Linux Libertine G"/>
          <w:color w:val="162536"/>
          <w:sz w:val="20"/>
        </w:rPr>
        <w:drawing>
          <wp:inline xmlns:a="http://schemas.openxmlformats.org/drawingml/2006/main" xmlns:pic="http://schemas.openxmlformats.org/drawingml/2006/picture">
            <wp:extent cx="5868000" cy="3207840"/>
            <wp:docPr id="3" name="Picture 3" descr="Balkendiagramm mit zehn direkten, vier HTE-breiteren, sieben HTE-engeren, vier Kontext- und drei Negativfällen."/>
            <wp:cNvGraphicFramePr>
              <a:graphicFrameLocks noChangeAspect="1"/>
            </wp:cNvGraphicFramePr>
            <a:graphic>
              <a:graphicData uri="http://schemas.openxmlformats.org/drawingml/2006/picture">
                <pic:pic>
                  <pic:nvPicPr>
                    <pic:cNvPr id="0" name="hte_mapping_de.png"/>
                    <pic:cNvPicPr/>
                  </pic:nvPicPr>
                  <pic:blipFill>
                    <a:blip r:embed="rId14"/>
                    <a:stretch>
                      <a:fillRect/>
                    </a:stretch>
                  </pic:blipFill>
                  <pic:spPr>
                    <a:xfrm>
                      <a:off x="0" y="0"/>
                      <a:ext cx="5868000" cy="3207840"/>
                    </a:xfrm>
                    <a:prstGeom prst="rect"/>
                  </pic:spPr>
                </pic:pic>
              </a:graphicData>
            </a:graphic>
          </wp:inline>
        </w:drawing>
      </w:r>
    </w:p>
    <w:p>
      <w:pPr>
        <w:keepLines/>
        <w:spacing w:after="140"/>
        <w:jc w:val="center"/>
      </w:pPr>
      <w:r>
        <w:rPr>
          <w:rFonts w:ascii="Linux Libertine G" w:hAnsi="Linux Libertine G" w:eastAsia="Linux Libertine G" w:cs="Linux Libertine G"/>
          <w:i/>
          <w:color w:val="5D6B75"/>
          <w:sz w:val="15"/>
        </w:rPr>
        <w:t>Abb. 2  Finale Verteilung der Mappingtypen.</w:t>
      </w:r>
    </w:p>
    <w:tbl>
      <w:tblPr>
        <w:tblW w:type="auto" w:w="0"/>
        <w:jc w:val="center"/>
        <w:tblLayout w:type="fixed"/>
        <w:tblLook w:firstColumn="1" w:firstRow="1" w:lastColumn="0" w:lastRow="0" w:noHBand="0" w:noVBand="1" w:val="04A0"/>
      </w:tblPr>
      <w:tblGrid>
        <w:gridCol w:w="2395"/>
        <w:gridCol w:w="2395"/>
        <w:gridCol w:w="2395"/>
        <w:gridCol w:w="2395"/>
      </w:tblGrid>
      <w:tr>
        <w:trPr>
          <w:cantSplit/>
          <w:tblHeader w:val="true"/>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5"/>
              </w:rPr>
              <w:t>Endklasse</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5"/>
              </w:rPr>
              <w:t>Anzahl</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5"/>
              </w:rPr>
              <w:t>Anteil am Pilot</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5"/>
              </w:rPr>
              <w:t>Kanonische Wirkung</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Direkt</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10</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35,7 %</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additive HTE-Evidenz</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HTE breiter</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4</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14,3 %</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additive Evidenz mit Scope-Warnung</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HTE enger</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7</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25,0 %</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additive Evidenz mit Scope-Warnung</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Kontext</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4</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14,3 %</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Forschungsdokumentation, kein Import</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Negativ</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3</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10,7 %</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dokumentierter Nichttreffer, kein Import</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Gesamt</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28</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100 %</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21 importiert, 7 nicht importiert</w:t>
            </w:r>
          </w:p>
        </w:tc>
      </w:tr>
    </w:tbl>
    <w:p>
      <w:pPr>
        <w:spacing w:after="20"/>
      </w:pPr>
    </w:p>
    <w:p>
      <w:pPr>
        <w:pStyle w:val="Heading2"/>
      </w:pPr>
      <w:r>
        <w:t>4 1 Angenommene Evidenzfälle</w:t>
      </w:r>
    </w:p>
    <w:tbl>
      <w:tblPr>
        <w:tblW w:type="auto" w:w="0"/>
        <w:jc w:val="center"/>
        <w:tblLayout w:type="fixed"/>
        <w:tblLook w:firstColumn="1" w:firstRow="1" w:lastColumn="0" w:lastRow="0" w:noHBand="0" w:noVBand="1" w:val="04A0"/>
      </w:tblPr>
      <w:tblGrid>
        <w:gridCol w:w="2395"/>
        <w:gridCol w:w="2395"/>
        <w:gridCol w:w="2395"/>
        <w:gridCol w:w="2395"/>
      </w:tblGrid>
      <w:tr>
        <w:trPr>
          <w:cantSplit/>
          <w:tblHeader w:val="true"/>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5"/>
              </w:rPr>
              <w:t>Atlasbegriff</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5"/>
              </w:rPr>
              <w:t>Fachbereich</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5"/>
              </w:rPr>
              <w:t>Endtyp</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5"/>
              </w:rPr>
              <w:t>Aussagegrenze</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Metapher</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Rhetorik/Stilistik</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HTE enger</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HTE-Pfad belegt spezifischen historischen Ausschnitt</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Ironie</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Rhetorik/Stilistik</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direkt</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tragfähiger historischer Bedeutungsanker</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Euphemismus</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Rhetorik/Stilistik</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direkt</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tragfähiger historischer Bedeutungsanker</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Hyperbel</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Rhetorik/Stilistik</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direkt</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tragfähiger historischer Bedeutungsanker</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Metonymie</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Pragmatik</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HTE breiter</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externe Kategorie umfasst mehr als den Atlasbegriff</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Kalauer</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Wortspiele/Sprachrätsel</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direkt</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historische Lexikalisierung als Evidenz</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Frage</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Pragmatik/Gespräch</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HTE breiter</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kommunikatives Feld breiter als Atlasprofil</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Bitte</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Pragmatik/Gespräch</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direkt</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belastbarer Handlungs- und Bedeutungsanker</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Geste</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Pragmatik/Gespräch</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HTE breiter</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HTE bündelt breiteres Ausdrucksfeld</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Aufmerksamkeit</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Sprachphilosophie/Denken/Erkenntnis</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HTE enger</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externer Ausschnitt deckt Teil des Atlasbegriffs</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Erinnerung</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Sprachphilosophie/Denken/Erkenntnis</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HTE enger</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historische Kategorien bilden Teilperspektiven</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Körper</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Sprachphilosophie/Denken/Erkenntnis</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HTE breiter</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HTE-Bereich ist ontologisch umfassender</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Stimme</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Klang/Phonetik/Phonologie</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direkt</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historischer Ausdrucksbereich passt zum Evidenzziel</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Sprichwort</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Poetik/Narration</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direkt</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stabile historische Gattungskategorie</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Fabel</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Poetik/Narration</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direkt</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stabile historische Gattungskategorie</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Zitat</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Schriftlichkeit/Typografie</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direkt</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belastbare historische Kategorie</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Zeugnis</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Argumentation/Logik</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HTE enger</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recherchierter Sinn ist enger als Atlasprofil</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Evidenz</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Sprachphilosophie/Denken/Erkenntnis</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HTE enger</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quellengebundener Teilsinn, keine Vollidentität</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Interjektion</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Wortgestalt/Wortbildung/Morphologie</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direkt</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belastbarer grammatisch-lexikalischer Anker</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Plural</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Syntax/Grammatik</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direkt</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historisch dokumentierte grammatische Kategorie</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Transliteration</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Übersetzung/Unübersetzbarkeit</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HTE enger</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externer Vorgang ist enger als der Atlasbereich</w:t>
            </w:r>
          </w:p>
        </w:tc>
      </w:tr>
    </w:tbl>
    <w:p>
      <w:pPr>
        <w:spacing w:after="20"/>
      </w:pPr>
    </w:p>
    <w:p>
      <w:pPr>
        <w:pStyle w:val="Heading2"/>
      </w:pPr>
      <w:r>
        <w:t>4 2 Kontext und Negativbefunde</w:t>
      </w:r>
    </w:p>
    <w:tbl>
      <w:tblPr>
        <w:tblW w:type="auto" w:w="0"/>
        <w:jc w:val="center"/>
        <w:tblLayout w:type="fixed"/>
        <w:tblLook w:firstColumn="1" w:firstRow="1" w:lastColumn="0" w:lastRow="0" w:noHBand="0" w:noVBand="1" w:val="04A0"/>
      </w:tblPr>
      <w:tblGrid>
        <w:gridCol w:w="2395"/>
        <w:gridCol w:w="2395"/>
        <w:gridCol w:w="2395"/>
        <w:gridCol w:w="2395"/>
      </w:tblGrid>
      <w:tr>
        <w:trPr>
          <w:cantSplit/>
          <w:tblHeader w:val="true"/>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5"/>
              </w:rPr>
              <w:t>Begriff</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5"/>
              </w:rPr>
              <w:t>Endstatus</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5"/>
              </w:rPr>
              <w:t>Warum kein Import?</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5"/>
              </w:rPr>
              <w:t>Forschungsnutzen</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Schweigen</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Kontext</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semantische Nähe ohne ausreichend präzise Bindung</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zeigt Grenze zwischen Nachbarschaft und Evidenz</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Empathie</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Kontext</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historischer Pfad deckt nur verwandte Perspektiven</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schützt vor moderner Rückprojektion</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Kulturelles Gedächtnis</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Kontext</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komplexes Kompositum ohne eindeutige HTE-Identität</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macht zusammengesetzte Atlasbegriffe sichtbar</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Literalität/Schriftlichkeit</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Kontext</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Lexemnähe ohne stabile Begriffsgleichheit</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trennt Wortform und Konzept</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Sprachtod</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negativ</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kein adäquater HTE-Anker</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externer Coverage Gap bleibt dokumentiert</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Verteilte Kognition</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negativ</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moderner Fachbegriff außerhalb tragfähiger Abdeckung</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verhindert künstliche Rückdatierung</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Linguistic Landscape</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negativ</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disziplinärer Terminus ohne sicheren historischen Pfad</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schützt fachspezifischen Atlas-Scope</w:t>
            </w:r>
          </w:p>
        </w:tc>
      </w:tr>
    </w:tbl>
    <w:p>
      <w:pPr>
        <w:spacing w:after="20"/>
      </w:pPr>
    </w:p>
    <w:p>
      <w:pPr>
        <w:pStyle w:val="Heading1"/>
      </w:pPr>
      <w:r>
        <w:t>5 Typologie der Zuordnung</w:t>
      </w:r>
    </w:p>
    <w:p>
      <w:pPr>
        <w:jc w:val="both"/>
      </w:pPr>
      <w:r>
        <w:rPr>
          <w:rFonts w:ascii="Linux Libertine G" w:hAnsi="Linux Libertine G" w:eastAsia="Linux Libertine G" w:cs="Linux Libertine G"/>
          <w:color w:val="162536"/>
          <w:sz w:val="20"/>
        </w:rPr>
        <w:t>Die zentrale methodische Leistung liegt nicht in der bloßen Trefferzahl, sondern in der Richtungsangabe des Bedeutungsumfangs. Ein direkter Anker kann als enge Evidenz gelesen werden. Bei breiteren oder engeren HTE-Kategorien muss der Evidenztext die Differenz ausdrücklich tragen.</w:t>
      </w:r>
    </w:p>
    <w:tbl>
      <w:tblPr>
        <w:tblW w:type="auto" w:w="0"/>
        <w:jc w:val="center"/>
        <w:tblLayout w:type="fixed"/>
        <w:tblLook w:firstColumn="1" w:firstRow="1" w:lastColumn="0" w:lastRow="0" w:noHBand="0" w:noVBand="1" w:val="04A0"/>
      </w:tblPr>
      <w:tblGrid>
        <w:gridCol w:w="2395"/>
        <w:gridCol w:w="2395"/>
        <w:gridCol w:w="2395"/>
        <w:gridCol w:w="2395"/>
      </w:tblGrid>
      <w:tr>
        <w:trPr>
          <w:cantSplit/>
          <w:tblHeader w:val="true"/>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5"/>
              </w:rPr>
              <w:t>Typ</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5"/>
              </w:rPr>
              <w:t>Formale Lesart</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5"/>
              </w:rPr>
              <w:t>Zulässige Aussage</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5"/>
              </w:rPr>
              <w:t>Unzulässige Verkürzung</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Direkt</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Atlas-Scope und HTE-Scope überlappen tragfähig</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HTE dokumentiert einen passenden historischen Bedeutungsanker</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beide Ontologien seien identisch</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HTE breiter</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HTE-Scope enthält den Atlas-Scope</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Atlasbegriff liegt in einem größeren historischen Feld</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gesamtes HTE-Feld sei der Atlasbegriff</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HTE enger</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HTE-Scope ist Teil des Atlas-Scope</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HTE dokumentiert eine historische Teilperspektive</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Teilperspektive definiere den Gesamtbegriff</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Kontext</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Nähe ohne robuste Bindung</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Befund informiert Interpretation und spätere Forschung</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Kontext als kanonische Evidenz ausgeben</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Negativ</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kein adäquater Anker</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geprüfter Nichttreffer dokumentiert externe Grenze</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Abwesenheit als Abwesenheit des Konzepts deuten</w:t>
            </w:r>
          </w:p>
        </w:tc>
      </w:tr>
    </w:tbl>
    <w:p>
      <w:pPr>
        <w:spacing w:after="20"/>
      </w:pPr>
    </w:p>
    <w:p>
      <w:pPr>
        <w:jc w:val="both"/>
      </w:pPr>
      <w:r>
        <w:rPr>
          <w:rFonts w:ascii="Linux Libertine G" w:hAnsi="Linux Libertine G" w:eastAsia="Linux Libertine G" w:cs="Linux Libertine G"/>
          <w:color w:val="162536"/>
          <w:sz w:val="20"/>
        </w:rPr>
        <w:t xml:space="preserve">Die drei im KI-Review revidierten Fälle Metapher, Erinnerung und Zeugnis zeigen den Nutzen dieser Typologie. Alle drei blieben positive Forschungsbefunde, mussten aber von einer vermeintlich direkten Entsprechung auf </w:t>
      </w:r>
      <w:r>
        <w:rPr>
          <w:rFonts w:ascii="Linux Libertine G" w:hAnsi="Linux Libertine G" w:eastAsia="Linux Libertine G" w:cs="Linux Libertine G"/>
          <w:b/>
          <w:color w:val="162536"/>
          <w:sz w:val="20"/>
        </w:rPr>
        <w:t>HTE enger</w:t>
      </w:r>
      <w:r>
        <w:rPr>
          <w:rFonts w:ascii="Linux Libertine G" w:hAnsi="Linux Libertine G" w:eastAsia="Linux Libertine G" w:cs="Linux Libertine G"/>
          <w:color w:val="162536"/>
          <w:sz w:val="20"/>
        </w:rPr>
        <w:t xml:space="preserve"> korrigiert werden. Die Korrektur reduziert nicht den Wert der Quelle; sie präzisiert, welche Aussage tatsächlich gestützt wird.</w:t>
      </w:r>
    </w:p>
    <w:p>
      <w:pPr>
        <w:pStyle w:val="Heading1"/>
      </w:pPr>
      <w:r>
        <w:t>6 Kontrollierte kanonische Integration</w:t>
      </w:r>
    </w:p>
    <w:p>
      <w:pPr>
        <w:keepNext/>
        <w:spacing w:after="40"/>
        <w:jc w:val="center"/>
      </w:pPr>
      <w:r>
        <w:rPr>
          <w:rFonts w:ascii="Linux Libertine G" w:hAnsi="Linux Libertine G" w:eastAsia="Linux Libertine G" w:cs="Linux Libertine G"/>
          <w:color w:val="162536"/>
          <w:sz w:val="20"/>
        </w:rPr>
        <w:drawing>
          <wp:inline xmlns:a="http://schemas.openxmlformats.org/drawingml/2006/main" xmlns:pic="http://schemas.openxmlformats.org/drawingml/2006/picture">
            <wp:extent cx="5868000" cy="3520800"/>
            <wp:docPr id="4" name="Picture 4" descr="Sechsstufige Kontrollkette von HTE-Version 5.0 über KI-Review, Owner-Gate, Inbox, Migration und Checkpoint bis zum Atlas-9.0.0-Readback."/>
            <wp:cNvGraphicFramePr>
              <a:graphicFrameLocks noChangeAspect="1"/>
            </wp:cNvGraphicFramePr>
            <a:graphic>
              <a:graphicData uri="http://schemas.openxmlformats.org/drawingml/2006/picture">
                <pic:pic>
                  <pic:nvPicPr>
                    <pic:cNvPr id="0" name="hte_lifecycle_de.png"/>
                    <pic:cNvPicPr/>
                  </pic:nvPicPr>
                  <pic:blipFill>
                    <a:blip r:embed="rId15"/>
                    <a:stretch>
                      <a:fillRect/>
                    </a:stretch>
                  </pic:blipFill>
                  <pic:spPr>
                    <a:xfrm>
                      <a:off x="0" y="0"/>
                      <a:ext cx="5868000" cy="3520800"/>
                    </a:xfrm>
                    <a:prstGeom prst="rect"/>
                  </pic:spPr>
                </pic:pic>
              </a:graphicData>
            </a:graphic>
          </wp:inline>
        </w:drawing>
      </w:r>
    </w:p>
    <w:p>
      <w:pPr>
        <w:keepLines/>
        <w:spacing w:after="140"/>
        <w:jc w:val="center"/>
      </w:pPr>
      <w:r>
        <w:rPr>
          <w:rFonts w:ascii="Linux Libertine G" w:hAnsi="Linux Libertine G" w:eastAsia="Linux Libertine G" w:cs="Linux Libertine G"/>
          <w:i/>
          <w:color w:val="5D6B75"/>
          <w:sz w:val="15"/>
        </w:rPr>
        <w:t>Abb. 3  Kontrollkette der kanonischen Integration.</w:t>
      </w:r>
    </w:p>
    <w:p>
      <w:pPr>
        <w:jc w:val="both"/>
      </w:pPr>
      <w:r>
        <w:rPr>
          <w:rFonts w:ascii="Linux Libertine G" w:hAnsi="Linux Libertine G" w:eastAsia="Linux Libertine G" w:cs="Linux Libertine G"/>
          <w:color w:val="162536"/>
          <w:sz w:val="20"/>
        </w:rPr>
        <w:t xml:space="preserve">Das angenommene Paket </w:t>
      </w:r>
      <w:r>
        <w:rPr>
          <w:rFonts w:ascii="Courier New" w:hAnsi="Courier New"/>
          <w:sz w:val="17"/>
        </w:rPr>
        <w:t>ATLAS-INBOX-HTE-PILOT-V1-EVIDENCE-0001</w:t>
      </w:r>
      <w:r>
        <w:rPr>
          <w:rFonts w:ascii="Linux Libertine G" w:hAnsi="Linux Libertine G" w:eastAsia="Linux Libertine G" w:cs="Linux Libertine G"/>
          <w:color w:val="162536"/>
          <w:sz w:val="20"/>
        </w:rPr>
        <w:t xml:space="preserve"> wurde byteidentisch und mit unverändertem SHA-256 übernommen. Der strenge Inbox-Lauf meldete den erwarteten Zustand „bereits unverändert übernommen“. Dry-run und Apply ergaben exakt 21 Ergänzungen, keine Dublette, keinen Konflikt und keine unerwartete Änderung. Migration 0133 erzeugte die Evidenz-IDs 1719 bis 1739. Ein append-only Produktionscheckpoint versiegelte den damals reconcilierten Stand, ohne den vorangegangenen WALS-Checkpoint zu überschreiben.</w:t>
      </w:r>
    </w:p>
    <w:tbl>
      <w:tblPr>
        <w:tblW w:type="auto" w:w="0"/>
        <w:jc w:val="center"/>
        <w:tblLayout w:type="fixed"/>
        <w:tblLook w:firstColumn="1" w:firstRow="1" w:lastColumn="0" w:lastRow="0" w:noHBand="0" w:noVBand="1" w:val="04A0"/>
      </w:tblPr>
      <w:tblGrid>
        <w:gridCol w:w="1916"/>
        <w:gridCol w:w="1916"/>
        <w:gridCol w:w="1916"/>
        <w:gridCol w:w="1916"/>
        <w:gridCol w:w="1916"/>
      </w:tblGrid>
      <w:tr>
        <w:trPr>
          <w:cantSplit/>
          <w:tblHeader w:val="true"/>
        </w:trPr>
        <w:tc>
          <w:tcPr>
            <w:tcW w:type="dxa" w:w="170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5"/>
              </w:rPr>
              <w:t>Datenebene</w:t>
            </w:r>
          </w:p>
        </w:tc>
        <w:tc>
          <w:tcPr>
            <w:tcW w:type="dxa" w:w="170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5"/>
              </w:rPr>
              <w:t>Vor HTE</w:t>
            </w:r>
          </w:p>
        </w:tc>
        <w:tc>
          <w:tcPr>
            <w:tcW w:type="dxa" w:w="192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5"/>
              </w:rPr>
              <w:t>Direkt nach HTE in 8.15.6</w:t>
            </w:r>
          </w:p>
        </w:tc>
        <w:tc>
          <w:tcPr>
            <w:tcW w:type="dxa" w:w="1984"/>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5"/>
              </w:rPr>
              <w:t>Aktueller Readback 9.0.0</w:t>
            </w:r>
          </w:p>
        </w:tc>
        <w:tc>
          <w:tcPr>
            <w:tcW w:type="dxa" w:w="192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5"/>
              </w:rPr>
              <w:t>HTE-Wirkung</w:t>
            </w:r>
          </w:p>
        </w:tc>
      </w:tr>
      <w:tr>
        <w:trPr>
          <w:cantSplit/>
        </w:trPr>
        <w:tc>
          <w:tcPr>
            <w:tcW w:type="dxa" w:w="170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Atlasversion</w:t>
            </w:r>
          </w:p>
        </w:tc>
        <w:tc>
          <w:tcPr>
            <w:tcW w:type="dxa" w:w="170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249</w:t>
            </w:r>
          </w:p>
        </w:tc>
        <w:tc>
          <w:tcPr>
            <w:tcW w:type="dxa" w:w="192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249</w:t>
            </w:r>
          </w:p>
        </w:tc>
        <w:tc>
          <w:tcPr>
            <w:tcW w:type="dxa" w:w="1984"/>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250</w:t>
            </w:r>
          </w:p>
        </w:tc>
        <w:tc>
          <w:tcPr>
            <w:tcW w:type="dxa" w:w="192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0 neue Konzepte</w:t>
            </w:r>
          </w:p>
        </w:tc>
      </w:tr>
      <w:tr>
        <w:trPr>
          <w:cantSplit/>
        </w:trPr>
        <w:tc>
          <w:tcPr>
            <w:tcW w:type="dxa" w:w="170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Konzepte</w:t>
            </w:r>
          </w:p>
        </w:tc>
        <w:tc>
          <w:tcPr>
            <w:tcW w:type="dxa" w:w="170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1.028</w:t>
            </w:r>
          </w:p>
        </w:tc>
        <w:tc>
          <w:tcPr>
            <w:tcW w:type="dxa" w:w="192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1.028</w:t>
            </w:r>
          </w:p>
        </w:tc>
        <w:tc>
          <w:tcPr>
            <w:tcW w:type="dxa" w:w="1984"/>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1.024</w:t>
            </w:r>
          </w:p>
        </w:tc>
        <w:tc>
          <w:tcPr>
            <w:tcW w:type="dxa" w:w="192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0; spätere Differenz stammt aus WordNet-Dublettenmerge</w:t>
            </w:r>
          </w:p>
        </w:tc>
      </w:tr>
      <w:tr>
        <w:trPr>
          <w:cantSplit/>
        </w:trPr>
        <w:tc>
          <w:tcPr>
            <w:tcW w:type="dxa" w:w="170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Relationen</w:t>
            </w:r>
          </w:p>
        </w:tc>
        <w:tc>
          <w:tcPr>
            <w:tcW w:type="dxa" w:w="170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3.433</w:t>
            </w:r>
          </w:p>
        </w:tc>
        <w:tc>
          <w:tcPr>
            <w:tcW w:type="dxa" w:w="192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3.433</w:t>
            </w:r>
          </w:p>
        </w:tc>
        <w:tc>
          <w:tcPr>
            <w:tcW w:type="dxa" w:w="1984"/>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3.427</w:t>
            </w:r>
          </w:p>
        </w:tc>
        <w:tc>
          <w:tcPr>
            <w:tcW w:type="dxa" w:w="192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0; spätere Differenz stammt aus WordNet-Konsolidierung</w:t>
            </w:r>
          </w:p>
        </w:tc>
      </w:tr>
      <w:tr>
        <w:trPr>
          <w:cantSplit/>
        </w:trPr>
        <w:tc>
          <w:tcPr>
            <w:tcW w:type="dxa" w:w="170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Evidenzen</w:t>
            </w:r>
          </w:p>
        </w:tc>
        <w:tc>
          <w:tcPr>
            <w:tcW w:type="dxa" w:w="170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1.718</w:t>
            </w:r>
          </w:p>
        </w:tc>
        <w:tc>
          <w:tcPr>
            <w:tcW w:type="dxa" w:w="192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1.739</w:t>
            </w:r>
          </w:p>
        </w:tc>
        <w:tc>
          <w:tcPr>
            <w:tcW w:type="dxa" w:w="1984"/>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1.739</w:t>
            </w:r>
          </w:p>
        </w:tc>
        <w:tc>
          <w:tcPr>
            <w:tcW w:type="dxa" w:w="192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+21</w:t>
            </w:r>
          </w:p>
        </w:tc>
      </w:tr>
      <w:tr>
        <w:trPr>
          <w:cantSplit/>
        </w:trPr>
        <w:tc>
          <w:tcPr>
            <w:tcW w:type="dxa" w:w="170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Legacy-Crosswalks</w:t>
            </w:r>
          </w:p>
        </w:tc>
        <w:tc>
          <w:tcPr>
            <w:tcW w:type="dxa" w:w="170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18</w:t>
            </w:r>
          </w:p>
        </w:tc>
        <w:tc>
          <w:tcPr>
            <w:tcW w:type="dxa" w:w="192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18</w:t>
            </w:r>
          </w:p>
        </w:tc>
        <w:tc>
          <w:tcPr>
            <w:tcW w:type="dxa" w:w="1984"/>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18</w:t>
            </w:r>
          </w:p>
        </w:tc>
        <w:tc>
          <w:tcPr>
            <w:tcW w:type="dxa" w:w="192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0</w:t>
            </w:r>
          </w:p>
        </w:tc>
      </w:tr>
      <w:tr>
        <w:trPr>
          <w:cantSplit/>
        </w:trPr>
        <w:tc>
          <w:tcPr>
            <w:tcW w:type="dxa" w:w="170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V2-Crosswalks</w:t>
            </w:r>
          </w:p>
        </w:tc>
        <w:tc>
          <w:tcPr>
            <w:tcW w:type="dxa" w:w="170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106</w:t>
            </w:r>
          </w:p>
        </w:tc>
        <w:tc>
          <w:tcPr>
            <w:tcW w:type="dxa" w:w="192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106</w:t>
            </w:r>
          </w:p>
        </w:tc>
        <w:tc>
          <w:tcPr>
            <w:tcW w:type="dxa" w:w="1984"/>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872</w:t>
            </w:r>
          </w:p>
        </w:tc>
        <w:tc>
          <w:tcPr>
            <w:tcW w:type="dxa" w:w="192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0; spätere Zunahme stammt aus WordNet</w:t>
            </w:r>
          </w:p>
        </w:tc>
      </w:tr>
      <w:tr>
        <w:trPr>
          <w:cantSplit/>
        </w:trPr>
        <w:tc>
          <w:tcPr>
            <w:tcW w:type="dxa" w:w="170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Typologische Crosswalks</w:t>
            </w:r>
          </w:p>
        </w:tc>
        <w:tc>
          <w:tcPr>
            <w:tcW w:type="dxa" w:w="170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9</w:t>
            </w:r>
          </w:p>
        </w:tc>
        <w:tc>
          <w:tcPr>
            <w:tcW w:type="dxa" w:w="192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9</w:t>
            </w:r>
          </w:p>
        </w:tc>
        <w:tc>
          <w:tcPr>
            <w:tcW w:type="dxa" w:w="1984"/>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9</w:t>
            </w:r>
          </w:p>
        </w:tc>
        <w:tc>
          <w:tcPr>
            <w:tcW w:type="dxa" w:w="192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0</w:t>
            </w:r>
          </w:p>
        </w:tc>
      </w:tr>
      <w:tr>
        <w:trPr>
          <w:cantSplit/>
        </w:trPr>
        <w:tc>
          <w:tcPr>
            <w:tcW w:type="dxa" w:w="170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Aktive ungelöste Relationen</w:t>
            </w:r>
          </w:p>
        </w:tc>
        <w:tc>
          <w:tcPr>
            <w:tcW w:type="dxa" w:w="170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0</w:t>
            </w:r>
          </w:p>
        </w:tc>
        <w:tc>
          <w:tcPr>
            <w:tcW w:type="dxa" w:w="192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0</w:t>
            </w:r>
          </w:p>
        </w:tc>
        <w:tc>
          <w:tcPr>
            <w:tcW w:type="dxa" w:w="1984"/>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0</w:t>
            </w:r>
          </w:p>
        </w:tc>
        <w:tc>
          <w:tcPr>
            <w:tcW w:type="dxa" w:w="192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0</w:t>
            </w:r>
          </w:p>
        </w:tc>
      </w:tr>
    </w:tbl>
    <w:p>
      <w:pPr>
        <w:spacing w:after="20"/>
      </w:pPr>
    </w:p>
    <w:p>
      <w:pPr>
        <w:jc w:val="both"/>
      </w:pPr>
      <w:r>
        <w:rPr>
          <w:rFonts w:ascii="Linux Libertine G" w:hAnsi="Linux Libertine G" w:eastAsia="Linux Libertine G" w:cs="Linux Libertine G"/>
          <w:color w:val="162536"/>
          <w:sz w:val="20"/>
        </w:rPr>
        <w:t>Der aktuelle Rücklesestand beweist Persistenz, nicht eine nachträgliche Erweiterung des HTE-Pakets: Die 21 HTE-Evidenzen sind weiterhin vorhanden, obwohl sich Atlasversion, Konzeptzahl, Relationenzahl und V2-Crosswalks durch den späteren WordNet-Release verändert haben. Paket-ID und Paket-Hash bleiben die Provenienzanker.</w:t>
      </w:r>
    </w:p>
    <w:p>
      <w:pPr>
        <w:pStyle w:val="Heading1"/>
      </w:pPr>
      <w:r>
        <w:t>7 Einfluss auf das Atlas-Projekt</w:t>
      </w:r>
    </w:p>
    <w:p>
      <w:pPr>
        <w:keepNext/>
        <w:spacing w:after="40"/>
        <w:jc w:val="center"/>
      </w:pPr>
      <w:r>
        <w:rPr>
          <w:rFonts w:ascii="Linux Libertine G" w:hAnsi="Linux Libertine G" w:eastAsia="Linux Libertine G" w:cs="Linux Libertine G"/>
          <w:color w:val="162536"/>
          <w:sz w:val="20"/>
        </w:rPr>
        <w:drawing>
          <wp:inline xmlns:a="http://schemas.openxmlformats.org/drawingml/2006/main" xmlns:pic="http://schemas.openxmlformats.org/drawingml/2006/picture">
            <wp:extent cx="5868000" cy="3207840"/>
            <wp:docPr id="5" name="Picture 5" descr="Vergleich der aktuellen Atlas-Datenebenen: HTE ergänzt 21 von 1739 Evidenzen und verändert Konzepte, Relationen und Crosswalks nicht."/>
            <wp:cNvGraphicFramePr>
              <a:graphicFrameLocks noChangeAspect="1"/>
            </wp:cNvGraphicFramePr>
            <a:graphic>
              <a:graphicData uri="http://schemas.openxmlformats.org/drawingml/2006/picture">
                <pic:pic>
                  <pic:nvPicPr>
                    <pic:cNvPr id="0" name="hte_impact_de.png"/>
                    <pic:cNvPicPr/>
                  </pic:nvPicPr>
                  <pic:blipFill>
                    <a:blip r:embed="rId16"/>
                    <a:stretch>
                      <a:fillRect/>
                    </a:stretch>
                  </pic:blipFill>
                  <pic:spPr>
                    <a:xfrm>
                      <a:off x="0" y="0"/>
                      <a:ext cx="5868000" cy="3207840"/>
                    </a:xfrm>
                    <a:prstGeom prst="rect"/>
                  </pic:spPr>
                </pic:pic>
              </a:graphicData>
            </a:graphic>
          </wp:inline>
        </w:drawing>
      </w:r>
    </w:p>
    <w:p>
      <w:pPr>
        <w:keepLines/>
        <w:spacing w:after="140"/>
        <w:jc w:val="center"/>
      </w:pPr>
      <w:r>
        <w:rPr>
          <w:rFonts w:ascii="Linux Libertine G" w:hAnsi="Linux Libertine G" w:eastAsia="Linux Libertine G" w:cs="Linux Libertine G"/>
          <w:i/>
          <w:color w:val="5D6B75"/>
          <w:sz w:val="15"/>
        </w:rPr>
        <w:t>Abb. 4  Quantitativer Einfluss auf Atlas 9.0.0.</w:t>
      </w:r>
    </w:p>
    <w:p>
      <w:pPr>
        <w:pStyle w:val="Heading2"/>
      </w:pPr>
      <w:r>
        <w:t>7 1 Wissenschaftlicher Einfluss</w:t>
      </w:r>
    </w:p>
    <w:p>
      <w:pPr>
        <w:jc w:val="both"/>
      </w:pPr>
      <w:r>
        <w:rPr>
          <w:rFonts w:ascii="Linux Libertine G" w:hAnsi="Linux Libertine G" w:eastAsia="Linux Libertine G" w:cs="Linux Libertine G"/>
          <w:color w:val="162536"/>
          <w:sz w:val="20"/>
        </w:rPr>
        <w:t>HTE ergänzt eine Zeitdimension, die in synchronen lexikalischen Ressourcen nur eingeschränkt sichtbar ist. Für rhetorische Figuren, Gesprächshandlungen, Gattungen und grammatische Kategorien entstehen belegte historische Anker. Zugleich verhindern die Scope-Typen, dass ein englischsprachiger Beleg als sprachübergreifende Definition missverstanden wird.</w:t>
      </w:r>
    </w:p>
    <w:p>
      <w:pPr>
        <w:pStyle w:val="Heading2"/>
      </w:pPr>
      <w:r>
        <w:t>7 2 Einfluss auf Datenmodell und Redaktion</w:t>
      </w:r>
    </w:p>
    <w:p>
      <w:pPr>
        <w:jc w:val="both"/>
      </w:pPr>
      <w:r>
        <w:rPr>
          <w:rFonts w:ascii="Linux Libertine G" w:hAnsi="Linux Libertine G" w:eastAsia="Linux Libertine G" w:cs="Linux Libertine G"/>
          <w:color w:val="162536"/>
          <w:sz w:val="20"/>
        </w:rPr>
        <w:t xml:space="preserve">Das Projekt gewinnt ein erprobtes </w:t>
      </w:r>
      <w:r>
        <w:rPr>
          <w:rFonts w:ascii="Linux Libertine G" w:hAnsi="Linux Libertine G" w:eastAsia="Linux Libertine G" w:cs="Linux Libertine G"/>
          <w:b/>
          <w:color w:val="162536"/>
          <w:sz w:val="20"/>
        </w:rPr>
        <w:t>evidence-only</w:t>
      </w:r>
      <w:r>
        <w:rPr>
          <w:rFonts w:ascii="Linux Libertine G" w:hAnsi="Linux Libertine G" w:eastAsia="Linux Libertine G" w:cs="Linux Libertine G"/>
          <w:color w:val="162536"/>
          <w:sz w:val="20"/>
        </w:rPr>
        <w:t>-Muster: Externe historische Befunde können die Provenienz stärken, ohne interne Begriffsentscheidungen oder Relationsgraphen zu überschreiben. Dieses Muster ist besonders für private, ressourcenbegrenzte Forschung geeignet, weil es additive, reversible und prüfbare Schritte erlaubt. Eine spätere redaktionelle Neubewertung kann einzelne Evidenzen anders gewichten, ohne den Atlasbegriff selbst neu erzeugen zu müssen.</w:t>
      </w:r>
    </w:p>
    <w:p>
      <w:pPr>
        <w:pStyle w:val="Heading2"/>
      </w:pPr>
      <w:r>
        <w:t>7 3 Einfluss auf Qualitäts- und Release-Governance</w:t>
      </w:r>
    </w:p>
    <w:p>
      <w:pPr>
        <w:jc w:val="both"/>
      </w:pPr>
      <w:r>
        <w:rPr>
          <w:rFonts w:ascii="Linux Libertine G" w:hAnsi="Linux Libertine G" w:eastAsia="Linux Libertine G" w:cs="Linux Libertine G"/>
          <w:color w:val="162536"/>
          <w:sz w:val="20"/>
        </w:rPr>
        <w:t xml:space="preserve">Die HTE-Reconciliation machte sichtbar, dass eine korrekte Übergabedatei allein nicht verhindert, dass </w:t>
      </w:r>
      <w:r>
        <w:rPr>
          <w:rFonts w:ascii="Courier New" w:hAnsi="Courier New"/>
          <w:sz w:val="17"/>
        </w:rPr>
        <w:t>main</w:t>
      </w:r>
      <w:r>
        <w:rPr>
          <w:rFonts w:ascii="Linux Libertine G" w:hAnsi="Linux Libertine G" w:eastAsia="Linux Libertine G" w:cs="Linux Libertine G"/>
          <w:color w:val="162536"/>
          <w:sz w:val="20"/>
        </w:rPr>
        <w:t xml:space="preserve"> nach Projektabschluss weiterläuft. Deshalb wird der bestehende Übergabe-Ledger durch ein verpflichtendes PR-Integrationsgate ergänzt: Der Pull Request muss auf dem aktuellen </w:t>
      </w:r>
      <w:r>
        <w:rPr>
          <w:rFonts w:ascii="Courier New" w:hAnsi="Courier New"/>
          <w:sz w:val="17"/>
        </w:rPr>
        <w:t>github/main</w:t>
      </w:r>
      <w:r>
        <w:rPr>
          <w:rFonts w:ascii="Linux Libertine G" w:hAnsi="Linux Libertine G" w:eastAsia="Linux Libertine G" w:cs="Linux Libertine G"/>
          <w:color w:val="162536"/>
          <w:sz w:val="20"/>
        </w:rPr>
        <w:t xml:space="preserve"> beruhen; ein abweichender Merge-Base oder ein inzwischen vorgerückter gespeicherter Basis-SHA beendet die Prüfung mit </w:t>
      </w:r>
      <w:r>
        <w:rPr>
          <w:rFonts w:ascii="Courier New" w:hAnsi="Courier New"/>
          <w:sz w:val="17"/>
        </w:rPr>
        <w:t>BASE_ADVANCED</w:t>
      </w:r>
      <w:r>
        <w:rPr>
          <w:rFonts w:ascii="Linux Libertine G" w:hAnsi="Linux Libertine G" w:eastAsia="Linux Libertine G" w:cs="Linux Libertine G"/>
          <w:color w:val="162536"/>
          <w:sz w:val="20"/>
        </w:rPr>
        <w:t xml:space="preserve">. Zusammen mit „Branch muss aktuell sein“ schützt dies den Zeitraum </w:t>
      </w:r>
      <w:r>
        <w:rPr>
          <w:rFonts w:ascii="Linux Libertine G" w:hAnsi="Linux Libertine G" w:eastAsia="Linux Libertine G" w:cs="Linux Libertine G"/>
          <w:b/>
          <w:color w:val="162536"/>
          <w:sz w:val="20"/>
        </w:rPr>
        <w:t>nach</w:t>
      </w:r>
      <w:r>
        <w:rPr>
          <w:rFonts w:ascii="Linux Libertine G" w:hAnsi="Linux Libertine G" w:eastAsia="Linux Libertine G" w:cs="Linux Libertine G"/>
          <w:color w:val="162536"/>
          <w:sz w:val="20"/>
        </w:rPr>
        <w:t xml:space="preserve"> dem letzten lokalen Projektcheckpoint bis zur tatsächlichen Integration.</w:t>
      </w:r>
    </w:p>
    <w:tbl>
      <w:tblPr>
        <w:tblW w:type="auto" w:w="0"/>
        <w:jc w:val="center"/>
        <w:tblLayout w:type="fixed"/>
        <w:tblLook w:firstColumn="1" w:firstRow="1" w:lastColumn="0" w:lastRow="0" w:noHBand="0" w:noVBand="1" w:val="04A0"/>
      </w:tblPr>
      <w:tblGrid>
        <w:gridCol w:w="3194"/>
        <w:gridCol w:w="3194"/>
        <w:gridCol w:w="3194"/>
      </w:tblGrid>
      <w:tr>
        <w:trPr>
          <w:cantSplit/>
          <w:tblHeader w:val="true"/>
        </w:trPr>
        <w:tc>
          <w:tcPr>
            <w:tcW w:type="dxa" w:w="2551"/>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8"/>
              </w:rPr>
              <w:t>Projektrisiko</w:t>
            </w:r>
          </w:p>
        </w:tc>
        <w:tc>
          <w:tcPr>
            <w:tcW w:type="dxa" w:w="317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8"/>
              </w:rPr>
              <w:t>Bisherige Kontrolle</w:t>
            </w:r>
          </w:p>
        </w:tc>
        <w:tc>
          <w:tcPr>
            <w:tcW w:type="dxa" w:w="351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8"/>
              </w:rPr>
              <w:t>Neue Wirkung</w:t>
            </w:r>
          </w:p>
        </w:tc>
      </w:tr>
      <w:tr>
        <w:trPr>
          <w:cantSplit/>
        </w:trPr>
        <w:tc>
          <w:tcPr>
            <w:tcW w:type="dxa" w:w="2551"/>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8"/>
              </w:rPr>
              <w:t>Quelle ändert Kategorie oder Datierung</w:t>
            </w:r>
          </w:p>
        </w:tc>
        <w:tc>
          <w:tcPr>
            <w:tcW w:type="dxa" w:w="317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8"/>
              </w:rPr>
              <w:t>HTE-Version und URL im Evidenzsatz</w:t>
            </w:r>
          </w:p>
        </w:tc>
        <w:tc>
          <w:tcPr>
            <w:tcW w:type="dxa" w:w="351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8"/>
              </w:rPr>
              <w:t>reproduzierbare Nachprüfung gegen v5.0</w:t>
            </w:r>
          </w:p>
        </w:tc>
      </w:tr>
      <w:tr>
        <w:trPr>
          <w:cantSplit/>
        </w:trPr>
        <w:tc>
          <w:tcPr>
            <w:tcW w:type="dxa" w:w="2551"/>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8"/>
              </w:rPr>
              <w:t>Wortgleichheit wird als Identität gelesen</w:t>
            </w:r>
          </w:p>
        </w:tc>
        <w:tc>
          <w:tcPr>
            <w:tcW w:type="dxa" w:w="317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8"/>
              </w:rPr>
              <w:t>mehrstufiger Scope-Review</w:t>
            </w:r>
          </w:p>
        </w:tc>
        <w:tc>
          <w:tcPr>
            <w:tcW w:type="dxa" w:w="351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8"/>
              </w:rPr>
              <w:t>direkt, breiter, enger, Kontext und negativ getrennt</w:t>
            </w:r>
          </w:p>
        </w:tc>
      </w:tr>
      <w:tr>
        <w:trPr>
          <w:cantSplit/>
        </w:trPr>
        <w:tc>
          <w:tcPr>
            <w:tcW w:type="dxa" w:w="2551"/>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8"/>
              </w:rPr>
              <w:t>KI-Empfehlung wird mit Annahme verwechselt</w:t>
            </w:r>
          </w:p>
        </w:tc>
        <w:tc>
          <w:tcPr>
            <w:tcW w:type="dxa" w:w="317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8"/>
              </w:rPr>
              <w:t>Owner-Gate</w:t>
            </w:r>
          </w:p>
        </w:tc>
        <w:tc>
          <w:tcPr>
            <w:tcW w:type="dxa" w:w="351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8"/>
              </w:rPr>
              <w:t>Freigabe bleibt menschliche Projektentscheidung</w:t>
            </w:r>
          </w:p>
        </w:tc>
      </w:tr>
      <w:tr>
        <w:trPr>
          <w:cantSplit/>
        </w:trPr>
        <w:tc>
          <w:tcPr>
            <w:tcW w:type="dxa" w:w="2551"/>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8"/>
              </w:rPr>
              <w:t>Accepted-Paket driftet</w:t>
            </w:r>
          </w:p>
        </w:tc>
        <w:tc>
          <w:tcPr>
            <w:tcW w:type="dxa" w:w="317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8"/>
              </w:rPr>
              <w:t>Paket-SHA und Inbox-Check</w:t>
            </w:r>
          </w:p>
        </w:tc>
        <w:tc>
          <w:tcPr>
            <w:tcW w:type="dxa" w:w="351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8"/>
              </w:rPr>
              <w:t>byteidentische Provenienz</w:t>
            </w:r>
          </w:p>
        </w:tc>
      </w:tr>
      <w:tr>
        <w:trPr>
          <w:cantSplit/>
        </w:trPr>
        <w:tc>
          <w:tcPr>
            <w:tcW w:type="dxa" w:w="2551"/>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8"/>
              </w:rPr>
              <w:t>Kanonischer Import verändert andere Ebenen</w:t>
            </w:r>
          </w:p>
        </w:tc>
        <w:tc>
          <w:tcPr>
            <w:tcW w:type="dxa" w:w="317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8"/>
              </w:rPr>
              <w:t>Dry-run, Migration, Tests, Readback</w:t>
            </w:r>
          </w:p>
        </w:tc>
        <w:tc>
          <w:tcPr>
            <w:tcW w:type="dxa" w:w="351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8"/>
              </w:rPr>
              <w:t>HTE bleibt auf 21 Evidenzergänzungen begrenzt</w:t>
            </w:r>
          </w:p>
        </w:tc>
      </w:tr>
      <w:tr>
        <w:trPr>
          <w:cantSplit/>
        </w:trPr>
        <w:tc>
          <w:tcPr>
            <w:tcW w:type="dxa" w:w="2551"/>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Courier New" w:hAnsi="Courier New"/>
                <w:sz w:val="16"/>
              </w:rPr>
              <w:t>main</w:t>
            </w:r>
            <w:r>
              <w:rPr>
                <w:rFonts w:ascii="Linux Libertine G" w:hAnsi="Linux Libertine G" w:eastAsia="Linux Libertine G" w:cs="Linux Libertine G"/>
                <w:b w:val="0"/>
                <w:color w:val="162536"/>
                <w:sz w:val="18"/>
              </w:rPr>
              <w:t xml:space="preserve"> läuft nach Handoff weiter</w:t>
            </w:r>
          </w:p>
        </w:tc>
        <w:tc>
          <w:tcPr>
            <w:tcW w:type="dxa" w:w="317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8"/>
              </w:rPr>
              <w:t>PR-Basis-Gate plus Up-to-date-Regel</w:t>
            </w:r>
          </w:p>
        </w:tc>
        <w:tc>
          <w:tcPr>
            <w:tcW w:type="dxa" w:w="351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8"/>
              </w:rPr>
              <w:t>veraltete grüne Prüfung kann nicht integriert werden</w:t>
            </w:r>
          </w:p>
        </w:tc>
      </w:tr>
    </w:tbl>
    <w:p>
      <w:pPr>
        <w:spacing w:after="20"/>
      </w:pPr>
    </w:p>
    <w:p>
      <w:pPr>
        <w:pStyle w:val="Heading2"/>
      </w:pPr>
      <w:r>
        <w:t>7 4 Quantitativer Einfluss</w:t>
      </w:r>
    </w:p>
    <w:p>
      <w:pPr>
        <w:jc w:val="both"/>
      </w:pPr>
      <w:r>
        <w:rPr>
          <w:rFonts w:ascii="Linux Libertine G" w:hAnsi="Linux Libertine G" w:eastAsia="Linux Libertine G" w:cs="Linux Libertine G"/>
          <w:color w:val="162536"/>
          <w:sz w:val="20"/>
        </w:rPr>
        <w:t>Die 21 HTE-Sätze entsprechen 1,21 Prozent der 1.739 aktuellen Evidenzdatensätze. Dieser Anteil ist klein, aber strukturell wichtig: Er führt eine historische, versionsgebundene Evidenzart ein und beweist den vollständigen Weg von der Quellenrecherche bis zur späteren Persistenzkontrolle. Die Wirkung ist deshalb stärker qualitativ als volumetrisch.</w:t>
      </w:r>
    </w:p>
    <w:p>
      <w:pPr>
        <w:pStyle w:val="Heading1"/>
      </w:pPr>
      <w:r>
        <w:t>8 Reproduzierbarkeit und Qualitätssicherung</w:t>
      </w:r>
    </w:p>
    <w:tbl>
      <w:tblPr>
        <w:tblW w:type="auto" w:w="0"/>
        <w:jc w:val="center"/>
        <w:tblLayout w:type="fixed"/>
        <w:tblLook w:firstColumn="1" w:firstRow="1" w:lastColumn="0" w:lastRow="0" w:noHBand="0" w:noVBand="1" w:val="04A0"/>
      </w:tblPr>
      <w:tblGrid>
        <w:gridCol w:w="3194"/>
        <w:gridCol w:w="3194"/>
        <w:gridCol w:w="3194"/>
      </w:tblGrid>
      <w:tr>
        <w:trPr>
          <w:cantSplit/>
          <w:tblHeader w:val="true"/>
        </w:trPr>
        <w:tc>
          <w:tcPr>
            <w:tcW w:type="dxa" w:w="2551"/>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8"/>
              </w:rPr>
              <w:t>Artefakt</w:t>
            </w:r>
          </w:p>
        </w:tc>
        <w:tc>
          <w:tcPr>
            <w:tcW w:type="dxa" w:w="317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8"/>
              </w:rPr>
              <w:t>Funktion</w:t>
            </w:r>
          </w:p>
        </w:tc>
        <w:tc>
          <w:tcPr>
            <w:tcW w:type="dxa" w:w="351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8"/>
              </w:rPr>
              <w:t>Integritätsmerkmal</w:t>
            </w:r>
          </w:p>
        </w:tc>
      </w:tr>
      <w:tr>
        <w:trPr>
          <w:cantSplit/>
        </w:trPr>
        <w:tc>
          <w:tcPr>
            <w:tcW w:type="dxa" w:w="2551"/>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Courier New" w:hAnsi="Courier New"/>
                <w:sz w:val="16"/>
              </w:rPr>
              <w:t>pilot-selection.jsonl</w:t>
            </w:r>
          </w:p>
        </w:tc>
        <w:tc>
          <w:tcPr>
            <w:tcW w:type="dxa" w:w="317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8"/>
              </w:rPr>
              <w:t>Auswahl der 28 Prüffälle</w:t>
            </w:r>
          </w:p>
        </w:tc>
        <w:tc>
          <w:tcPr>
            <w:tcW w:type="dxa" w:w="351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8"/>
              </w:rPr>
              <w:t>begrenzter, nachvollziehbarer Scope</w:t>
            </w:r>
          </w:p>
        </w:tc>
      </w:tr>
      <w:tr>
        <w:trPr>
          <w:cantSplit/>
        </w:trPr>
        <w:tc>
          <w:tcPr>
            <w:tcW w:type="dxa" w:w="2551"/>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Courier New" w:hAnsi="Courier New"/>
                <w:sz w:val="16"/>
              </w:rPr>
              <w:t>pilot-crosswalk.jsonl</w:t>
            </w:r>
          </w:p>
        </w:tc>
        <w:tc>
          <w:tcPr>
            <w:tcW w:type="dxa" w:w="317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8"/>
              </w:rPr>
              <w:t>quellennahe HTE-Befunde</w:t>
            </w:r>
          </w:p>
        </w:tc>
        <w:tc>
          <w:tcPr>
            <w:tcW w:type="dxa" w:w="351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8"/>
              </w:rPr>
              <w:t>Version, Kategoriepfad, URL und Begründung</w:t>
            </w:r>
          </w:p>
        </w:tc>
      </w:tr>
      <w:tr>
        <w:trPr>
          <w:cantSplit/>
        </w:trPr>
        <w:tc>
          <w:tcPr>
            <w:tcW w:type="dxa" w:w="2551"/>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Courier New" w:hAnsi="Courier New"/>
                <w:sz w:val="16"/>
              </w:rPr>
              <w:t>ai-expert-review-v1.jsonl</w:t>
            </w:r>
          </w:p>
        </w:tc>
        <w:tc>
          <w:tcPr>
            <w:tcW w:type="dxa" w:w="317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8"/>
              </w:rPr>
              <w:t>mehrstufige Gegenprüfung</w:t>
            </w:r>
          </w:p>
        </w:tc>
        <w:tc>
          <w:tcPr>
            <w:tcW w:type="dxa" w:w="351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8"/>
              </w:rPr>
              <w:t>Empfehlung von Freigabe getrennt</w:t>
            </w:r>
          </w:p>
        </w:tc>
      </w:tr>
      <w:tr>
        <w:trPr>
          <w:cantSplit/>
        </w:trPr>
        <w:tc>
          <w:tcPr>
            <w:tcW w:type="dxa" w:w="2551"/>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8"/>
              </w:rPr>
              <w:t>Accepted-Paket</w:t>
            </w:r>
          </w:p>
        </w:tc>
        <w:tc>
          <w:tcPr>
            <w:tcW w:type="dxa" w:w="317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8"/>
              </w:rPr>
              <w:t>21 atomare Evidenzoperationen</w:t>
            </w:r>
          </w:p>
        </w:tc>
        <w:tc>
          <w:tcPr>
            <w:tcW w:type="dxa" w:w="351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8"/>
              </w:rPr>
              <w:t>Paket-ID und SHA-256 unverändert</w:t>
            </w:r>
          </w:p>
        </w:tc>
      </w:tr>
      <w:tr>
        <w:trPr>
          <w:cantSplit/>
        </w:trPr>
        <w:tc>
          <w:tcPr>
            <w:tcW w:type="dxa" w:w="2551"/>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8"/>
              </w:rPr>
              <w:t>Migration 0133</w:t>
            </w:r>
          </w:p>
        </w:tc>
        <w:tc>
          <w:tcPr>
            <w:tcW w:type="dxa" w:w="317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8"/>
              </w:rPr>
              <w:t>kanonischer Apply</w:t>
            </w:r>
          </w:p>
        </w:tc>
        <w:tc>
          <w:tcPr>
            <w:tcW w:type="dxa" w:w="351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8"/>
              </w:rPr>
              <w:t>IDs 1719 bis 1739, transaktional</w:t>
            </w:r>
          </w:p>
        </w:tc>
      </w:tr>
      <w:tr>
        <w:trPr>
          <w:cantSplit/>
        </w:trPr>
        <w:tc>
          <w:tcPr>
            <w:tcW w:type="dxa" w:w="2551"/>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8"/>
              </w:rPr>
              <w:t>Produktionscheckpoint</w:t>
            </w:r>
          </w:p>
        </w:tc>
        <w:tc>
          <w:tcPr>
            <w:tcW w:type="dxa" w:w="317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8"/>
              </w:rPr>
              <w:t>append-only Versiegelung</w:t>
            </w:r>
          </w:p>
        </w:tc>
        <w:tc>
          <w:tcPr>
            <w:tcW w:type="dxa" w:w="351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8"/>
              </w:rPr>
              <w:t>Vorgänger kontrolliert supersediert</w:t>
            </w:r>
          </w:p>
        </w:tc>
      </w:tr>
      <w:tr>
        <w:trPr>
          <w:cantSplit/>
        </w:trPr>
        <w:tc>
          <w:tcPr>
            <w:tcW w:type="dxa" w:w="2551"/>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8"/>
              </w:rPr>
              <w:t>Canonical Export</w:t>
            </w:r>
          </w:p>
        </w:tc>
        <w:tc>
          <w:tcPr>
            <w:tcW w:type="dxa" w:w="317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8"/>
              </w:rPr>
              <w:t>maschinenlesbarer Endstand</w:t>
            </w:r>
          </w:p>
        </w:tc>
        <w:tc>
          <w:tcPr>
            <w:tcW w:type="dxa" w:w="351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8"/>
              </w:rPr>
              <w:t>21 HTE-Evidenzen in 1.739 Gesamtbelegen</w:t>
            </w:r>
          </w:p>
        </w:tc>
      </w:tr>
      <w:tr>
        <w:trPr>
          <w:cantSplit/>
        </w:trPr>
        <w:tc>
          <w:tcPr>
            <w:tcW w:type="dxa" w:w="2551"/>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8"/>
              </w:rPr>
              <w:t>Rückleseprüfung</w:t>
            </w:r>
          </w:p>
        </w:tc>
        <w:tc>
          <w:tcPr>
            <w:tcW w:type="dxa" w:w="317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8"/>
              </w:rPr>
              <w:t>unabhängige Bestandsprüfung</w:t>
            </w:r>
          </w:p>
        </w:tc>
        <w:tc>
          <w:tcPr>
            <w:tcW w:type="dxa" w:w="351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8"/>
              </w:rPr>
              <w:t>0 aktive ungelöste Relationen</w:t>
            </w:r>
          </w:p>
        </w:tc>
      </w:tr>
    </w:tbl>
    <w:p>
      <w:pPr>
        <w:spacing w:after="20"/>
      </w:pPr>
    </w:p>
    <w:p>
      <w:pPr>
        <w:jc w:val="both"/>
      </w:pPr>
      <w:r>
        <w:rPr>
          <w:rFonts w:ascii="Linux Libertine G" w:hAnsi="Linux Libertine G" w:eastAsia="Linux Libertine G" w:cs="Linux Libertine G"/>
          <w:color w:val="162536"/>
          <w:sz w:val="20"/>
        </w:rPr>
        <w:t>Die technische Abschlussprüfung umfasst Format- und Schema-Tests, Paket- und Record-Hashes, Gesamttests, Build, Release-Check, finalen Canonical Export und vollständige Rücklese. Inhalts- oder Datenabweichungen sind Stop-Bedingungen; reine Laufzeitumgebungsprobleme dürfen nur durch einen dokumentierten, inhaltsneutralen Shim behoben werden.</w:t>
      </w:r>
    </w:p>
    <w:p>
      <w:pPr>
        <w:pStyle w:val="Heading1"/>
      </w:pPr>
      <w:r>
        <w:t>9 Grenzen und Forschungsdesiderate</w:t>
      </w:r>
    </w:p>
    <w:p>
      <w:pPr>
        <w:keepLines/>
        <w:spacing w:after="40"/>
        <w:ind w:left="312" w:hanging="198"/>
      </w:pPr>
      <w:r>
        <w:rPr>
          <w:rFonts w:ascii="Linux Libertine G" w:hAnsi="Linux Libertine G" w:eastAsia="Linux Libertine G" w:cs="Linux Libertine G"/>
          <w:color w:val="162536"/>
          <w:sz w:val="20"/>
        </w:rPr>
        <w:t>•  Der Pilot ist gezielt ausgewählt und nicht repräsentativ für alle 1.024 aktuellen Atlasbegriffe.</w:t>
      </w:r>
    </w:p>
    <w:p>
      <w:pPr>
        <w:keepLines/>
        <w:spacing w:after="40"/>
        <w:ind w:left="312" w:hanging="198"/>
      </w:pPr>
      <w:r>
        <w:rPr>
          <w:rFonts w:ascii="Linux Libertine G" w:hAnsi="Linux Libertine G" w:eastAsia="Linux Libertine G" w:cs="Linux Libertine G"/>
          <w:color w:val="162536"/>
          <w:sz w:val="20"/>
        </w:rPr>
        <w:t>•  HTE beschreibt die Geschichte des Englischen; daraus folgt keine sprachübergreifende Universalität.</w:t>
      </w:r>
    </w:p>
    <w:p>
      <w:pPr>
        <w:keepLines/>
        <w:spacing w:after="40"/>
        <w:ind w:left="312" w:hanging="198"/>
      </w:pPr>
      <w:r>
        <w:rPr>
          <w:rFonts w:ascii="Linux Libertine G" w:hAnsi="Linux Libertine G" w:eastAsia="Linux Libertine G" w:cs="Linux Libertine G"/>
          <w:color w:val="162536"/>
          <w:sz w:val="20"/>
        </w:rPr>
        <w:t>•  Aufgezeichnete Datierungen hängen von der Quellenüberlieferung ab und sind keine absoluten Entstehungsdaten.</w:t>
      </w:r>
    </w:p>
    <w:p>
      <w:pPr>
        <w:keepLines/>
        <w:spacing w:after="40"/>
        <w:ind w:left="312" w:hanging="198"/>
      </w:pPr>
      <w:r>
        <w:rPr>
          <w:rFonts w:ascii="Linux Libertine G" w:hAnsi="Linux Libertine G" w:eastAsia="Linux Libertine G" w:cs="Linux Libertine G"/>
          <w:color w:val="162536"/>
          <w:sz w:val="20"/>
        </w:rPr>
        <w:t>•  HTE-Nachbarschaft ist keine strikte Synonymie. Die Hierarchie darf nicht automatisch in Atlasrelationen übersetzt werden.</w:t>
      </w:r>
    </w:p>
    <w:p>
      <w:pPr>
        <w:keepLines/>
        <w:spacing w:after="40"/>
        <w:ind w:left="312" w:hanging="198"/>
      </w:pPr>
      <w:r>
        <w:rPr>
          <w:rFonts w:ascii="Linux Libertine G" w:hAnsi="Linux Libertine G" w:eastAsia="Linux Libertine G" w:cs="Linux Libertine G"/>
          <w:color w:val="162536"/>
          <w:sz w:val="20"/>
        </w:rPr>
        <w:t>•  Die Nutzungsbedingungen erlauben keine freie Replikation großer HTE-Datenbestände. Dieser Abschluss veröffentlicht daher keine Rohdatenkopie.</w:t>
      </w:r>
    </w:p>
    <w:p>
      <w:pPr>
        <w:keepLines/>
        <w:spacing w:after="40"/>
        <w:ind w:left="312" w:hanging="198"/>
      </w:pPr>
      <w:r>
        <w:rPr>
          <w:rFonts w:ascii="Linux Libertine G" w:hAnsi="Linux Libertine G" w:eastAsia="Linux Libertine G" w:cs="Linux Libertine G"/>
          <w:color w:val="162536"/>
          <w:sz w:val="20"/>
        </w:rPr>
        <w:t>•  Der KI-Review ist eine proportionale Qualitätssicherung für ein privates Projekt, kein Ersatzetikett für ein tatsächlich durchgeführtes Human-Peer-Review.</w:t>
      </w:r>
    </w:p>
    <w:p>
      <w:pPr>
        <w:keepLines/>
        <w:spacing w:after="40"/>
        <w:ind w:left="312" w:hanging="198"/>
      </w:pPr>
      <w:r>
        <w:rPr>
          <w:rFonts w:ascii="Linux Libertine G" w:hAnsi="Linux Libertine G" w:eastAsia="Linux Libertine G" w:cs="Linux Libertine G"/>
          <w:color w:val="162536"/>
          <w:sz w:val="20"/>
        </w:rPr>
        <w:t>•  Zukünftige HTE-Versionen erfordern eine neue Quellenprüfung; die Version 5.0 bleibt Bestandteil jedes übernommenen Evidenzsatzes.</w:t>
      </w:r>
    </w:p>
    <w:p>
      <w:pPr>
        <w:pStyle w:val="Heading1"/>
      </w:pPr>
      <w:r>
        <w:t>10 Schlussfolgerung</w:t>
      </w:r>
    </w:p>
    <w:p>
      <w:pPr>
        <w:jc w:val="both"/>
      </w:pPr>
      <w:r>
        <w:rPr>
          <w:rFonts w:ascii="Linux Libertine G" w:hAnsi="Linux Libertine G" w:eastAsia="Linux Libertine G" w:cs="Linux Libertine G"/>
          <w:color w:val="162536"/>
          <w:sz w:val="20"/>
        </w:rPr>
        <w:t>Der HTF-Forschungsstrang ist fachlich und technisch abgeschlossen. Aus 28 methodisch ausgewählten Fällen wurden 21 belastbare, scope-typisierte HTE-Evidenzen gewonnen, vier Kontexte sichtbar gehalten und drei Nichttreffer dokumentiert. Der Accepted-Import blieb strikt additiv. Sein unveränderter Paket-Hash, die Evidence-IDs 1719 bis 1739 und die vollständige Persistenz im Atlas-9.0.0-Readback machen den Weg von der Recherche zur kanonischen Evidenz reproduzierbar.</w:t>
      </w:r>
    </w:p>
    <w:p>
      <w:pPr>
        <w:jc w:val="both"/>
      </w:pPr>
      <w:r>
        <w:rPr>
          <w:rFonts w:ascii="Linux Libertine G" w:hAnsi="Linux Libertine G" w:eastAsia="Linux Libertine G" w:cs="Linux Libertine G"/>
          <w:color w:val="162536"/>
          <w:sz w:val="20"/>
        </w:rPr>
        <w:t xml:space="preserve">Für das Gesamtprojekt ist der wichtigste Gewinn zweifach: Der Atlas erhält eine historische Evidenzschicht, ohne seine eigene Ontologie an das HTE abzugeben; zugleich wird die Release-Governance um eine Prüfung ergänzt, die den Übergabezustand bis zur tatsächlichen PR-Integration gegen ein fortgeschrittenes </w:t>
      </w:r>
      <w:r>
        <w:rPr>
          <w:rFonts w:ascii="Courier New" w:hAnsi="Courier New"/>
          <w:sz w:val="17"/>
        </w:rPr>
        <w:t>main</w:t>
      </w:r>
      <w:r>
        <w:rPr>
          <w:rFonts w:ascii="Linux Libertine G" w:hAnsi="Linux Libertine G" w:eastAsia="Linux Libertine G" w:cs="Linux Libertine G"/>
          <w:color w:val="162536"/>
          <w:sz w:val="20"/>
        </w:rPr>
        <w:t xml:space="preserve"> absichert. Damit ist HTE nicht nur ein Quellenbeitrag, sondern auch ein abgeschlossenes Referenzverfahren für künftige externe Forschungsstränge.</w:t>
      </w:r>
    </w:p>
    <w:p>
      <w:pPr>
        <w:pStyle w:val="Heading1"/>
      </w:pPr>
      <w:r>
        <w:t>Quellen und Artefakte</w:t>
      </w:r>
    </w:p>
    <w:p>
      <w:pPr>
        <w:pStyle w:val="Heading1"/>
      </w:pPr>
      <w:r>
        <w:t>Primärquellen</w:t>
      </w:r>
    </w:p>
    <w:p>
      <w:pPr>
        <w:keepLines/>
        <w:spacing w:after="40"/>
        <w:ind w:left="312" w:hanging="198"/>
      </w:pPr>
      <w:r>
        <w:rPr>
          <w:rFonts w:ascii="Linux Libertine G" w:hAnsi="Linux Libertine G" w:eastAsia="Linux Libertine G" w:cs="Linux Libertine G"/>
          <w:color w:val="162536"/>
          <w:sz w:val="20"/>
        </w:rPr>
        <w:t xml:space="preserve">•  Historical Thesaurus of English: </w:t>
      </w:r>
      <w:hyperlink r:id="rId17">
        <w:r>
          <w:rPr>
            <w:color w:val="17365D"/>
            <w:u w:val="single"/>
          </w:rPr>
          <w:t>Versionen und Änderungen</w:t>
        </w:r>
      </w:hyperlink>
      <w:r>
        <w:rPr>
          <w:rFonts w:ascii="Linux Libertine G" w:hAnsi="Linux Libertine G" w:eastAsia="Linux Libertine G" w:cs="Linux Libertine G"/>
          <w:color w:val="162536"/>
          <w:sz w:val="20"/>
        </w:rPr>
        <w:t>, Version 5.0, abgerufen am 11. September 2026.</w:t>
      </w:r>
    </w:p>
    <w:p>
      <w:pPr>
        <w:keepLines/>
        <w:spacing w:after="40"/>
        <w:ind w:left="312" w:hanging="198"/>
      </w:pPr>
      <w:r>
        <w:rPr>
          <w:rFonts w:ascii="Linux Libertine G" w:hAnsi="Linux Libertine G" w:eastAsia="Linux Libertine G" w:cs="Linux Libertine G"/>
          <w:color w:val="162536"/>
          <w:sz w:val="20"/>
        </w:rPr>
        <w:t xml:space="preserve">•  Historical Thesaurus of English: </w:t>
      </w:r>
      <w:hyperlink r:id="rId18">
        <w:r>
          <w:rPr>
            <w:color w:val="17365D"/>
            <w:u w:val="single"/>
          </w:rPr>
          <w:t>Zitierhinweise</w:t>
        </w:r>
      </w:hyperlink>
      <w:r>
        <w:rPr>
          <w:rFonts w:ascii="Linux Libertine G" w:hAnsi="Linux Libertine G" w:eastAsia="Linux Libertine G" w:cs="Linux Libertine G"/>
          <w:color w:val="162536"/>
          <w:sz w:val="20"/>
        </w:rPr>
        <w:t>, abgerufen am 11. September 2026.</w:t>
      </w:r>
    </w:p>
    <w:p>
      <w:pPr>
        <w:keepLines/>
        <w:spacing w:after="40"/>
        <w:ind w:left="312" w:hanging="198"/>
      </w:pPr>
      <w:r>
        <w:rPr>
          <w:rFonts w:ascii="Linux Libertine G" w:hAnsi="Linux Libertine G" w:eastAsia="Linux Libertine G" w:cs="Linux Libertine G"/>
          <w:color w:val="162536"/>
          <w:sz w:val="20"/>
        </w:rPr>
        <w:t xml:space="preserve">•  Historical Thesaurus of English: </w:t>
      </w:r>
      <w:hyperlink r:id="rId19">
        <w:r>
          <w:rPr>
            <w:color w:val="17365D"/>
            <w:u w:val="single"/>
          </w:rPr>
          <w:t>Klassifikation</w:t>
        </w:r>
      </w:hyperlink>
      <w:r>
        <w:rPr>
          <w:rFonts w:ascii="Linux Libertine G" w:hAnsi="Linux Libertine G" w:eastAsia="Linux Libertine G" w:cs="Linux Libertine G"/>
          <w:color w:val="162536"/>
          <w:sz w:val="20"/>
        </w:rPr>
        <w:t>, abgerufen am 11. September 2026.</w:t>
      </w:r>
    </w:p>
    <w:p>
      <w:pPr>
        <w:keepLines/>
        <w:spacing w:after="40"/>
        <w:ind w:left="312" w:hanging="198"/>
      </w:pPr>
      <w:r>
        <w:rPr>
          <w:rFonts w:ascii="Linux Libertine G" w:hAnsi="Linux Libertine G" w:eastAsia="Linux Libertine G" w:cs="Linux Libertine G"/>
          <w:color w:val="162536"/>
          <w:sz w:val="20"/>
        </w:rPr>
        <w:t xml:space="preserve">•  Historical Thesaurus of English: </w:t>
      </w:r>
      <w:hyperlink r:id="rId20">
        <w:r>
          <w:rPr>
            <w:color w:val="17365D"/>
            <w:u w:val="single"/>
          </w:rPr>
          <w:t>Benutzungshinweise</w:t>
        </w:r>
      </w:hyperlink>
      <w:r>
        <w:rPr>
          <w:rFonts w:ascii="Linux Libertine G" w:hAnsi="Linux Libertine G" w:eastAsia="Linux Libertine G" w:cs="Linux Libertine G"/>
          <w:color w:val="162536"/>
          <w:sz w:val="20"/>
        </w:rPr>
        <w:t>, abgerufen am 11. September 2026.</w:t>
      </w:r>
    </w:p>
    <w:p>
      <w:pPr>
        <w:keepLines/>
        <w:spacing w:after="40"/>
        <w:ind w:left="312" w:hanging="198"/>
      </w:pPr>
      <w:r>
        <w:rPr>
          <w:rFonts w:ascii="Linux Libertine G" w:hAnsi="Linux Libertine G" w:eastAsia="Linux Libertine G" w:cs="Linux Libertine G"/>
          <w:color w:val="162536"/>
          <w:sz w:val="20"/>
        </w:rPr>
        <w:t xml:space="preserve">•  Historical Thesaurus of English: </w:t>
      </w:r>
      <w:hyperlink r:id="rId21">
        <w:r>
          <w:rPr>
            <w:color w:val="17365D"/>
            <w:u w:val="single"/>
          </w:rPr>
          <w:t>Quellen</w:t>
        </w:r>
      </w:hyperlink>
      <w:r>
        <w:rPr>
          <w:rFonts w:ascii="Linux Libertine G" w:hAnsi="Linux Libertine G" w:eastAsia="Linux Libertine G" w:cs="Linux Libertine G"/>
          <w:color w:val="162536"/>
          <w:sz w:val="20"/>
        </w:rPr>
        <w:t>, abgerufen am 11. September 2026.</w:t>
      </w:r>
    </w:p>
    <w:p>
      <w:pPr>
        <w:keepLines/>
        <w:spacing w:after="40"/>
        <w:ind w:left="312" w:hanging="198"/>
      </w:pPr>
      <w:r>
        <w:rPr>
          <w:rFonts w:ascii="Linux Libertine G" w:hAnsi="Linux Libertine G" w:eastAsia="Linux Libertine G" w:cs="Linux Libertine G"/>
          <w:color w:val="162536"/>
          <w:sz w:val="20"/>
        </w:rPr>
        <w:t xml:space="preserve">•  Historical Thesaurus of English: </w:t>
      </w:r>
      <w:hyperlink r:id="rId22">
        <w:r>
          <w:rPr>
            <w:color w:val="17365D"/>
            <w:u w:val="single"/>
          </w:rPr>
          <w:t>Nutzungsbedingungen</w:t>
        </w:r>
      </w:hyperlink>
      <w:r>
        <w:rPr>
          <w:rFonts w:ascii="Linux Libertine G" w:hAnsi="Linux Libertine G" w:eastAsia="Linux Libertine G" w:cs="Linux Libertine G"/>
          <w:color w:val="162536"/>
          <w:sz w:val="20"/>
        </w:rPr>
        <w:t>, abgerufen am 11. September 2026.</w:t>
      </w:r>
    </w:p>
    <w:p>
      <w:pPr>
        <w:keepLines/>
        <w:spacing w:after="40"/>
        <w:ind w:left="312" w:hanging="198"/>
      </w:pPr>
      <w:r>
        <w:rPr>
          <w:rFonts w:ascii="Linux Libertine G" w:hAnsi="Linux Libertine G" w:eastAsia="Linux Libertine G" w:cs="Linux Libertine G"/>
          <w:color w:val="162536"/>
          <w:sz w:val="20"/>
        </w:rPr>
        <w:t xml:space="preserve">•  University of Glasgow Research Data Repository: </w:t>
      </w:r>
      <w:hyperlink r:id="rId23">
        <w:r>
          <w:rPr>
            <w:color w:val="17365D"/>
            <w:u w:val="single"/>
          </w:rPr>
          <w:t>Datensatz zum Historical Thesaurus of English</w:t>
        </w:r>
      </w:hyperlink>
      <w:r>
        <w:rPr>
          <w:rFonts w:ascii="Linux Libertine G" w:hAnsi="Linux Libertine G" w:eastAsia="Linux Libertine G" w:cs="Linux Libertine G"/>
          <w:color w:val="162536"/>
          <w:sz w:val="20"/>
        </w:rPr>
        <w:t>, DOI 10.5525/gla.researchdata.2163.</w:t>
      </w:r>
    </w:p>
    <w:p>
      <w:pPr>
        <w:pStyle w:val="Heading1"/>
      </w:pPr>
      <w:r>
        <w:t>Projektartefakte</w:t>
      </w:r>
    </w:p>
    <w:p>
      <w:pPr>
        <w:keepLines/>
        <w:spacing w:after="40"/>
        <w:ind w:left="312" w:hanging="198"/>
      </w:pPr>
      <w:r>
        <w:rPr>
          <w:rFonts w:ascii="Linux Libertine G" w:hAnsi="Linux Libertine G" w:eastAsia="Linux Libertine G" w:cs="Linux Libertine G"/>
          <w:color w:val="162536"/>
          <w:sz w:val="20"/>
        </w:rPr>
        <w:t xml:space="preserve">•  </w:t>
      </w:r>
      <w:r>
        <w:rPr>
          <w:rFonts w:ascii="Courier New" w:hAnsi="Courier New"/>
          <w:sz w:val="17"/>
        </w:rPr>
        <w:t>pilot-selection.jsonl</w:t>
      </w:r>
      <w:r>
        <w:rPr>
          <w:rFonts w:ascii="Linux Libertine G" w:hAnsi="Linux Libertine G" w:eastAsia="Linux Libertine G" w:cs="Linux Libertine G"/>
          <w:color w:val="162536"/>
          <w:sz w:val="20"/>
        </w:rPr>
        <w:t xml:space="preserve"> - 28 ausgewählte Atlasbegriffe.</w:t>
      </w:r>
    </w:p>
    <w:p>
      <w:pPr>
        <w:keepLines/>
        <w:spacing w:after="40"/>
        <w:ind w:left="312" w:hanging="198"/>
      </w:pPr>
      <w:r>
        <w:rPr>
          <w:rFonts w:ascii="Linux Libertine G" w:hAnsi="Linux Libertine G" w:eastAsia="Linux Libertine G" w:cs="Linux Libertine G"/>
          <w:color w:val="162536"/>
          <w:sz w:val="20"/>
        </w:rPr>
        <w:t xml:space="preserve">•  </w:t>
      </w:r>
      <w:r>
        <w:rPr>
          <w:rFonts w:ascii="Courier New" w:hAnsi="Courier New"/>
          <w:sz w:val="17"/>
        </w:rPr>
        <w:t>pilot-crosswalk.jsonl</w:t>
      </w:r>
      <w:r>
        <w:rPr>
          <w:rFonts w:ascii="Linux Libertine G" w:hAnsi="Linux Libertine G" w:eastAsia="Linux Libertine G" w:cs="Linux Libertine G"/>
          <w:color w:val="162536"/>
          <w:sz w:val="20"/>
        </w:rPr>
        <w:t xml:space="preserve"> - Quellenbefunde und anfängliche Zuordnungsentscheidungen.</w:t>
      </w:r>
    </w:p>
    <w:p>
      <w:pPr>
        <w:keepLines/>
        <w:spacing w:after="40"/>
        <w:ind w:left="312" w:hanging="198"/>
      </w:pPr>
      <w:r>
        <w:rPr>
          <w:rFonts w:ascii="Linux Libertine G" w:hAnsi="Linux Libertine G" w:eastAsia="Linux Libertine G" w:cs="Linux Libertine G"/>
          <w:color w:val="162536"/>
          <w:sz w:val="20"/>
        </w:rPr>
        <w:t xml:space="preserve">•  </w:t>
      </w:r>
      <w:r>
        <w:rPr>
          <w:rFonts w:ascii="Courier New" w:hAnsi="Courier New"/>
          <w:sz w:val="17"/>
        </w:rPr>
        <w:t>ai-expert-review-v1.jsonl</w:t>
      </w:r>
      <w:r>
        <w:rPr>
          <w:rFonts w:ascii="Linux Libertine G" w:hAnsi="Linux Libertine G" w:eastAsia="Linux Libertine G" w:cs="Linux Libertine G"/>
          <w:color w:val="162536"/>
          <w:sz w:val="20"/>
        </w:rPr>
        <w:t xml:space="preserve"> - mehrstufiger KI-Review und revidierte Entscheidungen.</w:t>
      </w:r>
    </w:p>
    <w:p>
      <w:pPr>
        <w:keepLines/>
        <w:spacing w:after="40"/>
        <w:ind w:left="312" w:hanging="198"/>
      </w:pPr>
      <w:r>
        <w:rPr>
          <w:rFonts w:ascii="Linux Libertine G" w:hAnsi="Linux Libertine G" w:eastAsia="Linux Libertine G" w:cs="Linux Libertine G"/>
          <w:color w:val="162536"/>
          <w:sz w:val="20"/>
        </w:rPr>
        <w:t xml:space="preserve">•  </w:t>
      </w:r>
      <w:r>
        <w:rPr>
          <w:rFonts w:ascii="Courier New" w:hAnsi="Courier New"/>
          <w:sz w:val="17"/>
        </w:rPr>
        <w:t>ATLAS-INBOX-HTE-PILOT-V1-EVIDENCE-0001</w:t>
      </w:r>
      <w:r>
        <w:rPr>
          <w:rFonts w:ascii="Linux Libertine G" w:hAnsi="Linux Libertine G" w:eastAsia="Linux Libertine G" w:cs="Linux Libertine G"/>
          <w:color w:val="162536"/>
          <w:sz w:val="20"/>
        </w:rPr>
        <w:t xml:space="preserve"> - angenommenes Evidence-only-Importpaket.</w:t>
      </w:r>
    </w:p>
    <w:p>
      <w:pPr>
        <w:keepLines/>
        <w:spacing w:after="40"/>
        <w:ind w:left="312" w:hanging="198"/>
      </w:pPr>
      <w:r>
        <w:rPr>
          <w:rFonts w:ascii="Linux Libertine G" w:hAnsi="Linux Libertine G" w:eastAsia="Linux Libertine G" w:cs="Linux Libertine G"/>
          <w:color w:val="162536"/>
          <w:sz w:val="20"/>
        </w:rPr>
        <w:t>•  Migration 0133 und append-only HTE-Produktionscheckpoint.</w:t>
      </w:r>
    </w:p>
    <w:p>
      <w:pPr>
        <w:keepLines/>
        <w:spacing w:after="40"/>
        <w:ind w:left="312" w:hanging="198"/>
      </w:pPr>
      <w:r>
        <w:rPr>
          <w:rFonts w:ascii="Linux Libertine G" w:hAnsi="Linux Libertine G" w:eastAsia="Linux Libertine G" w:cs="Linux Libertine G"/>
          <w:color w:val="162536"/>
          <w:sz w:val="20"/>
        </w:rPr>
        <w:t>•  Kanonischer Export und Atlas-9.0.0-Rückleseprüfung mit 21 fortbestehenden HTE-Evidenzen.</w:t>
      </w:r>
    </w:p>
    <w:p>
      <w:pPr>
        <w:pStyle w:val="Heading1"/>
      </w:pPr>
      <w:r>
        <w:t>Datenprodukte und Zitierweise</w:t>
      </w:r>
    </w:p>
    <w:p>
      <w:pPr>
        <w:jc w:val="both"/>
      </w:pPr>
      <w:r>
        <w:rPr>
          <w:rFonts w:ascii="Linux Libertine G" w:hAnsi="Linux Libertine G" w:eastAsia="Linux Libertine G" w:cs="Linux Libertine G"/>
          <w:color w:val="162536"/>
          <w:sz w:val="20"/>
        </w:rPr>
        <w:t>Für Nachprüfungen sind die maschinenlesbaren Exporte, Pakete und Importprotokolle maßgeblich. Die redaktionellen DOCX- und PDF-Fassungen erläutern Methode und Ergebnis; sie sind weder Importquelle noch Freigabedokument für neue Daten.</w:t>
      </w:r>
    </w:p>
    <w:tbl>
      <w:tblPr>
        <w:tblW w:type="auto" w:w="0"/>
        <w:jc w:val="center"/>
        <w:tblLook w:firstColumn="1" w:firstRow="1" w:lastColumn="0" w:lastRow="0" w:noHBand="0" w:noVBand="1" w:val="04A0"/>
      </w:tblPr>
      <w:tblGrid>
        <w:gridCol w:w="9582"/>
      </w:tblGrid>
      <w:tr>
        <w:tc>
          <w:tcPr>
            <w:tcW w:type="dxa" w:w="9582"/>
            <w:shd w:fill="EEE5D2"/>
            <w:tcBorders>
              <w:top w:val="single" w:sz="5" w:color="EEE5D2"/>
              <w:left w:val="single" w:sz="5" w:color="EEE5D2"/>
              <w:bottom w:val="single" w:sz="5" w:color="EEE5D2"/>
              <w:right w:val="single" w:sz="5" w:color="EEE5D2"/>
              <w:insideH w:val="single" w:sz="5" w:color="EEE5D2"/>
              <w:insideV w:val="single" w:sz="5" w:color="EEE5D2"/>
            </w:tcBorders>
            <w:tcMar>
              <w:top w:w="90" w:type="dxa"/>
              <w:start w:w="110" w:type="dxa"/>
              <w:bottom w:w="90" w:type="dxa"/>
              <w:end w:w="110" w:type="dxa"/>
            </w:tcMar>
          </w:tcPr>
          <w:p>
            <w:pPr>
              <w:spacing w:after="0"/>
            </w:pPr>
            <w:r>
              <w:rPr>
                <w:rFonts w:ascii="Frank Ruhl Hofshi" w:hAnsi="Frank Ruhl Hofshi" w:eastAsia="Frank Ruhl Hofshi" w:cs="Frank Ruhl Hofshi"/>
                <w:b/>
                <w:color w:val="C79A3B"/>
                <w:sz w:val="16"/>
              </w:rPr>
              <w:t>EMPFOHLENE ZITIERWEISE:</w:t>
              <w:br/>
            </w:r>
            <w:r>
              <w:rPr>
                <w:rFonts w:ascii="Linux Libertine G" w:hAnsi="Linux Libertine G" w:eastAsia="Linux Libertine G" w:cs="Linux Libertine G"/>
                <w:color w:val="162536"/>
                <w:sz w:val="19"/>
              </w:rPr>
              <w:t>Reich, Michael (2026): Historical Thesaurus of English und der Atlas der Sprache. Abschlussbericht des HTF-Forschungsstrangs und kanonische Evidenzintegration. Forschungsbericht 05, Version 1.2. Atlas der Sprache / Atelier der Resonanzen.</w:t>
            </w:r>
          </w:p>
        </w:tc>
      </w:tr>
    </w:tbl>
    <w:p/>
    <w:p>
      <w:pPr>
        <w:pStyle w:val="Heading1"/>
      </w:pPr>
      <w:r>
        <w:t>Transparenzhinweis</w:t>
      </w:r>
    </w:p>
    <w:p>
      <w:pPr>
        <w:jc w:val="both"/>
      </w:pPr>
      <w:r>
        <w:rPr>
          <w:rFonts w:ascii="Linux Libertine G" w:hAnsi="Linux Libertine G" w:eastAsia="Linux Libertine G" w:cs="Linux Libertine G"/>
          <w:color w:val="162536"/>
          <w:sz w:val="20"/>
        </w:rPr>
        <w:t>Die grafische Gestaltung gehört zur Forschungsperspektive des Atlas. Diagramme visualisieren ausschließlich die im Bericht dokumentierten Auswahl-, Review- und Integrationsdaten; sie ersetzen keine externe Datenanalyse. Historische Quelle, Atlasinterpretation und kanonische Übernahme bleiben getrennte Aussageebenen.</w:t>
      </w:r>
    </w:p>
    <w:p>
      <w:pPr>
        <w:keepNext/>
        <w:spacing w:after="40"/>
        <w:jc w:val="center"/>
      </w:pPr>
      <w:r>
        <w:rPr>
          <w:rFonts w:ascii="Linux Libertine G" w:hAnsi="Linux Libertine G" w:eastAsia="Linux Libertine G" w:cs="Linux Libertine G"/>
          <w:color w:val="162536"/>
          <w:sz w:val="20"/>
        </w:rPr>
        <w:drawing>
          <wp:inline xmlns:a="http://schemas.openxmlformats.org/drawingml/2006/main" xmlns:pic="http://schemas.openxmlformats.org/drawingml/2006/picture">
            <wp:extent cx="5868000" cy="2190720"/>
            <wp:docPr id="6" name="Picture 6" descr="Zwei Resonanzlinien mit markierten Knoten auf nachtblauem Grund als Schlussbild des HTE-Forschungsberichts."/>
            <wp:cNvGraphicFramePr>
              <a:graphicFrameLocks noChangeAspect="1"/>
            </wp:cNvGraphicFramePr>
            <a:graphic>
              <a:graphicData uri="http://schemas.openxmlformats.org/drawingml/2006/picture">
                <pic:pic>
                  <pic:nvPicPr>
                    <pic:cNvPr id="0" name="hte_closing_de.png"/>
                    <pic:cNvPicPr/>
                  </pic:nvPicPr>
                  <pic:blipFill>
                    <a:blip r:embed="rId24"/>
                    <a:stretch>
                      <a:fillRect/>
                    </a:stretch>
                  </pic:blipFill>
                  <pic:spPr>
                    <a:xfrm>
                      <a:off x="0" y="0"/>
                      <a:ext cx="5868000" cy="2190720"/>
                    </a:xfrm>
                    <a:prstGeom prst="rect"/>
                  </pic:spPr>
                </pic:pic>
              </a:graphicData>
            </a:graphic>
          </wp:inline>
        </w:drawing>
      </w:r>
    </w:p>
    <w:p>
      <w:pPr>
        <w:keepLines/>
        <w:spacing w:after="140"/>
        <w:jc w:val="center"/>
      </w:pPr>
      <w:r>
        <w:rPr>
          <w:rFonts w:ascii="Linux Libertine G" w:hAnsi="Linux Libertine G" w:eastAsia="Linux Libertine G" w:cs="Linux Libertine G"/>
          <w:i/>
          <w:color w:val="5D6B75"/>
          <w:sz w:val="15"/>
        </w:rPr>
        <w:t>Schlussbild  Historische Evidenz antwortet; der Atlas bewahrt seine eigene Stimme.</w:t>
      </w:r>
    </w:p>
    <w:sectPr w:rsidR="00FC693F" w:rsidRPr="0006063C" w:rsidSect="00034616">
      <w:headerReference w:type="default" r:id="rId10"/>
      <w:footerReference w:type="default" r:id="rId11"/>
      <w:pgSz w:w="11906" w:h="16838"/>
      <w:pgMar w:top="1049" w:right="1162" w:bottom="964" w:left="1162" w:header="425" w:footer="36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Pr>
    <w:tblGrid>
      <w:gridCol w:w="3194"/>
      <w:gridCol w:w="3194"/>
      <w:gridCol w:w="3194"/>
    </w:tblGrid>
    <w:tr>
      <w:tc>
        <w:tcPr>
          <w:tcW w:type="dxa" w:w="3118"/>
          <w:vAlign w:val="center"/>
        </w:tcPr>
        <w:p>
          <w:pPr>
            <w:spacing w:after="0"/>
            <w:jc w:val="left"/>
          </w:pPr>
          <w:r>
            <w:rPr>
              <w:rFonts w:ascii="Frank Ruhl Hofshi" w:hAnsi="Frank Ruhl Hofshi" w:eastAsia="Frank Ruhl Hofshi" w:cs="Frank Ruhl Hofshi"/>
              <w:b/>
              <w:color w:val="C79A3B"/>
              <w:sz w:val="13"/>
            </w:rPr>
            <w:t>ATELIER DER RESONANZEN</w:t>
          </w:r>
        </w:p>
      </w:tc>
      <w:tc>
        <w:tcPr>
          <w:tcW w:type="dxa" w:w="3402"/>
          <w:vAlign w:val="center"/>
        </w:tcPr>
        <w:p>
          <w:pPr>
            <w:spacing w:after="0"/>
            <w:jc w:val="center"/>
          </w:pPr>
          <w:r>
            <w:rPr>
              <w:rFonts w:ascii="Linux Libertine G" w:hAnsi="Linux Libertine G" w:eastAsia="Linux Libertine G" w:cs="Linux Libertine G"/>
              <w:b w:val="0"/>
              <w:color w:val="4FAEA8"/>
              <w:sz w:val="13"/>
            </w:rPr>
            <w:t>RESONANZSTROM  ·  ───●──────●──</w:t>
          </w:r>
        </w:p>
      </w:tc>
      <w:tc>
        <w:tcPr>
          <w:tcW w:type="dxa" w:w="3061"/>
          <w:vAlign w:val="center"/>
        </w:tcPr>
        <w:p>
          <w:pPr>
            <w:spacing w:after="0"/>
            <w:jc w:val="right"/>
          </w:pPr>
          <w:r>
            <w:rPr>
              <w:rFonts w:ascii="Frank Ruhl Hofshi" w:hAnsi="Frank Ruhl Hofshi" w:eastAsia="Frank Ruhl Hofshi" w:cs="Frank Ruhl Hofshi"/>
              <w:b/>
              <w:color w:val="C79A3B"/>
              <w:sz w:val="13"/>
            </w:rPr>
            <w:t>DE</w:t>
          </w:r>
        </w:p>
      </w:tc>
    </w:tr>
  </w:tbl>
  <w:p>
    <w:pPr>
      <w:spacing w:before="0" w:after="0"/>
      <w:jc w:val="right"/>
    </w:pPr>
    <w:r>
      <w:rPr>
        <w:rFonts w:ascii="Linux Libertine G" w:hAnsi="Linux Libertine G" w:eastAsia="Linux Libertine G" w:cs="Linux Libertine G"/>
        <w:color w:val="5D6B75"/>
        <w:sz w:val="14"/>
      </w:rPr>
      <w:fldChar w:fldCharType="begin"/>
      <w:instrText xml:space="preserve"> PAGE </w:instrText>
      <w:fldChar w:fldCharType="separate"/>
      <w:t>2</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Frank Ruhl Hofshi" w:hAnsi="Frank Ruhl Hofshi" w:eastAsia="Frank Ruhl Hofshi" w:cs="Frank Ruhl Hofshi"/>
        <w:b/>
        <w:color w:val="C79A3B"/>
        <w:sz w:val="15"/>
      </w:rPr>
      <w:t>⚡  ATLAS DER SPRACHE  ·  HTE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jc w:val="both"/>
    </w:pPr>
    <w:rPr>
      <w:rFonts w:ascii="Linux Libertine G" w:hAnsi="Linux Libertine G" w:eastAsia="Linux Libertine G" w:cs="Linux Libertine G"/>
      <w:color w:val="162536"/>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00" w:after="140"/>
      <w:outlineLvl w:val="0"/>
    </w:pPr>
    <w:rPr>
      <w:rFonts w:asciiTheme="majorHAnsi" w:eastAsiaTheme="majorEastAsia" w:hAnsiTheme="majorHAnsi" w:cstheme="majorBidi" w:ascii="Carlito" w:hAnsi="Carlito" w:eastAsia="Carlito" w:cs="Carlito"/>
      <w:b/>
      <w:bCs/>
      <w:color w:val="0B1D33"/>
      <w:sz w:val="40"/>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rlito" w:hAnsi="Carlito" w:eastAsia="Carlito" w:cs="Carlito"/>
      <w:b/>
      <w:bCs/>
      <w:color w:val="C79A3B"/>
      <w:sz w:val="30"/>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Carlito" w:hAnsi="Carlito" w:eastAsia="Carlito" w:cs="Carlito"/>
      <w:b/>
      <w:bCs/>
      <w:color w:val="173A5E"/>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160" w:line="240" w:lineRule="auto" w:before="0"/>
      <w:contextualSpacing/>
    </w:pPr>
    <w:rPr>
      <w:rFonts w:asciiTheme="majorHAnsi" w:eastAsiaTheme="majorEastAsia" w:hAnsiTheme="majorHAnsi" w:cstheme="majorBidi" w:ascii="Carlito" w:hAnsi="Carlito" w:eastAsia="Carlito" w:cs="Carlito"/>
      <w:b/>
      <w:color w:val="0B1D33"/>
      <w:spacing w:val="5"/>
      <w:kern w:val="28"/>
      <w:sz w:val="5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160"/>
    </w:pPr>
    <w:rPr>
      <w:rFonts w:asciiTheme="majorHAnsi" w:eastAsiaTheme="majorEastAsia" w:hAnsiTheme="majorHAnsi" w:cstheme="majorBidi" w:ascii="Carlito" w:hAnsi="Carlito" w:eastAsia="Carlito" w:cs="Carlito"/>
      <w:b w:val="0"/>
      <w:i/>
      <w:iCs/>
      <w:color w:val="5D6B75"/>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 Id="rId12" Type="http://schemas.openxmlformats.org/officeDocument/2006/relationships/image" Target="media/image2.png"/><Relationship Id="rId13" Type="http://schemas.openxmlformats.org/officeDocument/2006/relationships/hyperlink" Target="https://doi.org/10.5525/gla.researchdata.2163" TargetMode="External"/><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hyperlink" Target="https://ht.ac.uk/versions-and-changes/" TargetMode="External"/><Relationship Id="rId18" Type="http://schemas.openxmlformats.org/officeDocument/2006/relationships/hyperlink" Target="https://ht.ac.uk/how-to-cite/" TargetMode="External"/><Relationship Id="rId19" Type="http://schemas.openxmlformats.org/officeDocument/2006/relationships/hyperlink" Target="https://ht.ac.uk/classification/" TargetMode="External"/><Relationship Id="rId20" Type="http://schemas.openxmlformats.org/officeDocument/2006/relationships/hyperlink" Target="https://ht.ac.uk/guide/" TargetMode="External"/><Relationship Id="rId21" Type="http://schemas.openxmlformats.org/officeDocument/2006/relationships/hyperlink" Target="https://ht.ac.uk/sources/" TargetMode="External"/><Relationship Id="rId22" Type="http://schemas.openxmlformats.org/officeDocument/2006/relationships/hyperlink" Target="https://ht.ac.uk/terms/" TargetMode="External"/><Relationship Id="rId23" Type="http://schemas.openxmlformats.org/officeDocument/2006/relationships/hyperlink" Target="https://researchdata.gla.ac.uk/2163/" TargetMode="External"/><Relationship Id="rId2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Historical Thesaurus of English und der Atlas der Sprache</dc:title>
  <dc:subject>Abschlussbericht des HTF-Forschungsstrangs und kanonische Evidenzintegration</dc:subject>
  <dc:creator>Michael Reich</dc:creator>
  <cp:keywords>HTE; historical semantics; evidence; scope; Atlas; Atelier der Resonanzen</cp:keywords>
  <dc:description>generated by python-docx</dc:description>
  <cp:lastModifiedBy/>
  <cp:revision>1</cp:revision>
  <dcterms:created xsi:type="dcterms:W3CDTF">2013-12-23T23:15:00Z</dcterms:created>
  <dcterms:modified xsi:type="dcterms:W3CDTF">2013-12-23T23:15:00Z</dcterms:modified>
  <cp:category/>
</cp:coreProperties>
</file>