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drawing>
          <wp:inline xmlns:a="http://schemas.openxmlformats.org/drawingml/2006/main" xmlns:pic="http://schemas.openxmlformats.org/drawingml/2006/picture">
            <wp:extent cx="7343999" cy="10386000"/>
            <wp:docPr id="1" name="Picture 1"/>
            <wp:cNvGraphicFramePr>
              <a:graphicFrameLocks noChangeAspect="1"/>
            </wp:cNvGraphicFramePr>
            <a:graphic>
              <a:graphicData uri="http://schemas.openxmlformats.org/drawingml/2006/picture">
                <pic:pic>
                  <pic:nvPicPr>
                    <pic:cNvPr id="0" name="cover-de.png"/>
                    <pic:cNvPicPr/>
                  </pic:nvPicPr>
                  <pic:blipFill>
                    <a:blip r:embed="rId9"/>
                    <a:stretch>
                      <a:fillRect/>
                    </a:stretch>
                  </pic:blipFill>
                  <pic:spPr>
                    <a:xfrm>
                      <a:off x="0" y="0"/>
                      <a:ext cx="7343999" cy="10386000"/>
                    </a:xfrm>
                    <a:prstGeom prst="rect"/>
                  </pic:spPr>
                </pic:pic>
              </a:graphicData>
            </a:graphic>
          </wp:inline>
        </w:drawing>
      </w:r>
    </w:p>
    <w:p>
      <w:pPr>
        <w:sectPr>
          <w:pgSz w:w="11906" w:h="16838"/>
          <w:pgMar w:top="142" w:right="142" w:bottom="142" w:left="142" w:header="720" w:footer="720" w:gutter="0"/>
          <w:cols w:space="720"/>
          <w:docGrid w:linePitch="360"/>
        </w:sectPr>
      </w:pPr>
    </w:p>
    <w:p>
      <w:pPr>
        <w:pStyle w:val="Heading1"/>
        <w:spacing w:after="240"/>
      </w:pPr>
      <w:r>
        <w:rPr>
          <w:rFonts w:ascii="Arial" w:hAnsi="Arial"/>
          <w:b/>
          <w:color w:val="0B2038"/>
          <w:sz w:val="36"/>
        </w:rPr>
        <w:t>Gesamtstand und Kernaussage</w:t>
      </w:r>
    </w:p>
    <w:p>
      <w:pPr>
        <w:spacing w:after="140" w:line="254" w:lineRule="auto"/>
      </w:pPr>
      <w:r>
        <w:rPr>
          <w:rFonts w:ascii="Georgia" w:hAnsi="Georgia"/>
          <w:b w:val="0"/>
          <w:color w:val="15202B"/>
          <w:sz w:val="17"/>
        </w:rPr>
        <w:t>Stand 14. September 2026. Acht Forschungsstränge besitzen veröffentlichte Berichte und einen eigenen DOI-Datensatz. Die Atlas-Forschungsseite zeigt neun Karten; der neunte Strang zur chinesischen Rhetorik befindet sich in der Quellenprüfung und wird nicht als abgeschlossen gezählt.</w:t>
      </w:r>
    </w:p>
    <w:p>
      <w:pPr>
        <w:spacing w:after="140" w:line="254" w:lineRule="auto"/>
      </w:pPr>
      <w:r>
        <w:rPr>
          <w:rFonts w:ascii="Georgia" w:hAnsi="Georgia"/>
          <w:b w:val="0"/>
          <w:color w:val="15202B"/>
          <w:sz w:val="17"/>
        </w:rPr>
        <w:t>Das Portfolio ist wissenschaftlich komplementär. Lexikalische Identifikatoren, Colexifikationen, Frames, typologische Merkmale, historische Bedeutungsräume, Übersetzungsgrenzen und metaphorische Beziehungen werden nebeneinander dokumentiert, ohne die externen Systeme mit dem Atlas gleichzusetzen.</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Kennzahl</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Wert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Statusgrenze</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Veröffentlichte Forschungsstränge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8</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Bericht und DOI nachgewiesen</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Forschungskarten im Atlas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9</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Eine Karte bleibt source-review</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Kanonisch wirkende Stränge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5</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 WordNet, FrameNet, WALS und HTE</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 Stränge</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 ILIESI und Mapping Metaphor</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Historisch gemessene Kapazitätsströme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7</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 ohne erfundenen Messwert</w:t>
            </w:r>
          </w:p>
        </w:tc>
      </w:tr>
    </w:tbl>
    <w:p>
      <w:pPr>
        <w:spacing w:after="0"/>
      </w:pPr>
    </w:p>
    <w:p>
      <w:pPr>
        <w:spacing w:before="60" w:after="0"/>
        <w:jc w:val="center"/>
      </w:pPr>
      <w:r>
        <w:drawing>
          <wp:inline xmlns:a="http://schemas.openxmlformats.org/drawingml/2006/main" xmlns:pic="http://schemas.openxmlformats.org/drawingml/2006/picture">
            <wp:extent cx="6192000" cy="5724000"/>
            <wp:docPr id="2" name="Picture 2"/>
            <wp:cNvGraphicFramePr>
              <a:graphicFrameLocks noChangeAspect="1"/>
            </wp:cNvGraphicFramePr>
            <a:graphic>
              <a:graphicData uri="http://schemas.openxmlformats.org/drawingml/2006/picture">
                <pic:pic>
                  <pic:nvPicPr>
                    <pic:cNvPr id="0" name="stream-de-01.png"/>
                    <pic:cNvPicPr/>
                  </pic:nvPicPr>
                  <pic:blipFill>
                    <a:blip r:embed="rId10"/>
                    <a:stretch>
                      <a:fillRect/>
                    </a:stretch>
                  </pic:blipFill>
                  <pic:spPr>
                    <a:xfrm>
                      <a:off x="0" y="0"/>
                      <a:ext cx="6192000" cy="5724000"/>
                    </a:xfrm>
                    <a:prstGeom prst="rect"/>
                  </pic:spPr>
                </pic:pic>
              </a:graphicData>
            </a:graphic>
          </wp:inline>
        </w:drawing>
      </w:r>
    </w:p>
    <w:p>
      <w:pPr>
        <w:sectPr>
          <w:headerReference w:type="default" r:id="rId21"/>
          <w:footerReference w:type="default" r:id="rId22"/>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Breite semantische Erschließung</w:t>
      </w:r>
    </w:p>
    <w:p>
      <w:pPr>
        <w:spacing w:after="140" w:line="254" w:lineRule="auto"/>
      </w:pPr>
      <w:r>
        <w:rPr>
          <w:rFonts w:ascii="Georgia" w:hAnsi="Georgia"/>
          <w:b w:val="0"/>
          <w:color w:val="15202B"/>
          <w:sz w:val="17"/>
        </w:rPr>
        <w:t>WordNet. Das Screening aller 1.028 ursprünglichen Atlasbegriffe führte nach Audit und redaktionellem Gate zu 342 Sense-Key-Crosswalks für 301 Begriffe. Von 196 Single-Sense-Treffern wurden 155 bestätigt und 41 verworfen. NO_MATCH bleibt ein gültiger Befund und kein Fehler des Atlas.</w:t>
      </w:r>
    </w:p>
    <w:p>
      <w:pPr>
        <w:spacing w:after="140" w:line="254" w:lineRule="auto"/>
      </w:pPr>
      <w:r>
        <w:rPr>
          <w:rFonts w:ascii="Georgia" w:hAnsi="Georgia"/>
          <w:b w:val="0"/>
          <w:color w:val="15202B"/>
          <w:sz w:val="17"/>
        </w:rPr>
        <w:t>CLICS. Die Vollerhebung entschied 855 Denkwege: 726 sind freigegeben und 129 zurückgestellt. Explizite Netzwerklücken bleiben sichtbar. Ein Denkweg ist weder Begriffsidentität noch Tiefendossier; Netzwerk-Nähe wird nicht als Entsprechung ausgegeben.</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Strang</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Ergebniseinheit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DOI</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342 Links / 301 Begriffe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10.5281/zenodo.22713535</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726 positiv / 129 zurückgestellt</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10.5281/zenodo.22691224</w:t>
            </w:r>
          </w:p>
        </w:tc>
      </w:tr>
    </w:tbl>
    <w:p>
      <w:pPr>
        <w:spacing w:after="0"/>
      </w:pPr>
    </w:p>
    <w:p>
      <w:pPr>
        <w:spacing w:before="60" w:after="0"/>
        <w:jc w:val="center"/>
      </w:pPr>
      <w:r>
        <w:drawing>
          <wp:inline xmlns:a="http://schemas.openxmlformats.org/drawingml/2006/main" xmlns:pic="http://schemas.openxmlformats.org/drawingml/2006/picture">
            <wp:extent cx="6192000" cy="6300000"/>
            <wp:docPr id="3" name="Picture 3"/>
            <wp:cNvGraphicFramePr>
              <a:graphicFrameLocks noChangeAspect="1"/>
            </wp:cNvGraphicFramePr>
            <a:graphic>
              <a:graphicData uri="http://schemas.openxmlformats.org/drawingml/2006/picture">
                <pic:pic>
                  <pic:nvPicPr>
                    <pic:cNvPr id="0" name="stream-de-02.png"/>
                    <pic:cNvPicPr/>
                  </pic:nvPicPr>
                  <pic:blipFill>
                    <a:blip r:embed="rId11"/>
                    <a:stretch>
                      <a:fillRect/>
                    </a:stretch>
                  </pic:blipFill>
                  <pic:spPr>
                    <a:xfrm>
                      <a:off x="0" y="0"/>
                      <a:ext cx="6192000" cy="6300000"/>
                    </a:xfrm>
                    <a:prstGeom prst="rect"/>
                  </pic:spPr>
                </pic:pic>
              </a:graphicData>
            </a:graphic>
          </wp:inline>
        </w:drawing>
      </w:r>
    </w:p>
    <w:p>
      <w:pPr>
        <w:sectPr>
          <w:headerReference w:type="default" r:id="rId23"/>
          <w:footerReference w:type="default" r:id="rId24"/>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Szenen und Sprachstrukturen</w:t>
      </w:r>
    </w:p>
    <w:p>
      <w:pPr>
        <w:spacing w:after="140" w:line="254" w:lineRule="auto"/>
      </w:pPr>
      <w:r>
        <w:rPr>
          <w:rFonts w:ascii="Georgia" w:hAnsi="Georgia"/>
          <w:b w:val="0"/>
          <w:color w:val="15202B"/>
          <w:sz w:val="17"/>
        </w:rPr>
        <w:t>FrameNet. Die Vollprüfung bestätigt 532 typisierte Crosswalks zu 465 Begriffen. Frames, Frame Elements und Lexical Units bleiben getrennte Evidenzebenen; 563 Begriffe bleiben ohne positiven Crosswalk. Frame-Nähe oder gleiche Wortform genügt nicht.</w:t>
      </w:r>
    </w:p>
    <w:p>
      <w:pPr>
        <w:spacing w:after="140" w:line="254" w:lineRule="auto"/>
      </w:pPr>
      <w:r>
        <w:rPr>
          <w:rFonts w:ascii="Georgia" w:hAnsi="Georgia"/>
          <w:b w:val="0"/>
          <w:color w:val="15202B"/>
          <w:sz w:val="17"/>
        </w:rPr>
        <w:t>WALS. Der typologische Pilot dokumentiert 36 Evidence-only-Belege zu 18 Begriffen und neun typologische Crosswalks. Feature, Wert, Sprache und Atlasinterpretation bleiben getrennt. Ein einzelner Sprachwert belegt keine Universalität.</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Strang</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Ergebniseinheit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DOI</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FrameNet</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532 Links / 465 Begriffe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10.5281/zenodo.22713158</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36 Evidenzen / 9 Crosswalks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10.5281/zenodo.22713208</w:t>
            </w:r>
          </w:p>
        </w:tc>
      </w:tr>
    </w:tbl>
    <w:p>
      <w:pPr>
        <w:spacing w:after="0"/>
      </w:pPr>
    </w:p>
    <w:p>
      <w:pPr>
        <w:spacing w:before="60" w:after="0"/>
        <w:jc w:val="center"/>
      </w:pPr>
      <w:r>
        <w:drawing>
          <wp:inline xmlns:a="http://schemas.openxmlformats.org/drawingml/2006/main" xmlns:pic="http://schemas.openxmlformats.org/drawingml/2006/picture">
            <wp:extent cx="6192000" cy="6300000"/>
            <wp:docPr id="4" name="Picture 4"/>
            <wp:cNvGraphicFramePr>
              <a:graphicFrameLocks noChangeAspect="1"/>
            </wp:cNvGraphicFramePr>
            <a:graphic>
              <a:graphicData uri="http://schemas.openxmlformats.org/drawingml/2006/picture">
                <pic:pic>
                  <pic:nvPicPr>
                    <pic:cNvPr id="0" name="stream-de-03.png"/>
                    <pic:cNvPicPr/>
                  </pic:nvPicPr>
                  <pic:blipFill>
                    <a:blip r:embed="rId12"/>
                    <a:stretch>
                      <a:fillRect/>
                    </a:stretch>
                  </pic:blipFill>
                  <pic:spPr>
                    <a:xfrm>
                      <a:off x="0" y="0"/>
                      <a:ext cx="6192000" cy="6300000"/>
                    </a:xfrm>
                    <a:prstGeom prst="rect"/>
                  </pic:spPr>
                </pic:pic>
              </a:graphicData>
            </a:graphic>
          </wp:inline>
        </w:drawing>
      </w:r>
    </w:p>
    <w:p>
      <w:pPr>
        <w:sectPr>
          <w:headerReference w:type="default" r:id="rId25"/>
          <w:footerReference w:type="default" r:id="rId26"/>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Historie und metaphorische Wege</w:t>
      </w:r>
    </w:p>
    <w:p>
      <w:pPr>
        <w:spacing w:after="140" w:line="254" w:lineRule="auto"/>
      </w:pPr>
      <w:r>
        <w:rPr>
          <w:rFonts w:ascii="Georgia" w:hAnsi="Georgia"/>
          <w:b w:val="0"/>
          <w:color w:val="15202B"/>
          <w:sz w:val="17"/>
        </w:rPr>
        <w:t>Historical Thesaurus of English. Der begrenzte Pilot mit 28 Atlasbegriffen führt zu 21 owner-akzeptierten, scope-typisierten HTE-Evidenzen. Vier Kontextbefunde und drei Negativbefunde bleiben getrennt sichtbar. Der öffentliche Atlas-Datensatz enthält keine HTE-Rohdaten oder Hierarchieexporte.</w:t>
      </w:r>
    </w:p>
    <w:p>
      <w:pPr>
        <w:spacing w:after="140" w:line="254" w:lineRule="auto"/>
      </w:pPr>
      <w:r>
        <w:rPr>
          <w:rFonts w:ascii="Georgia" w:hAnsi="Georgia"/>
          <w:b w:val="0"/>
          <w:color w:val="15202B"/>
          <w:sz w:val="17"/>
        </w:rPr>
        <w:t>Mapping Metaphor. Zehn priorisierte Atlasbegriffe wurden vertieft: acht Fälle sind mit Scope-Grenze gestützt, zwei teilweise. Gegenbelege, Nullbefunde und 30 KI-interne Prüfpassagen bleiben dokumentiert. KI-Dry-Runs sind keine Humanreliabilität; es erfolgten keine Medienvalidierung und keine kanonische Integration.</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Strang</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Ergebniseinheit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DOI</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21 Evidenzen / 4 Kontext / 3 negativ</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10.5281/zenodo.22752606</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Mapping Metaphor</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8 gestützt / 2 teilweise</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10.5281/zenodo.22735837</w:t>
            </w:r>
          </w:p>
        </w:tc>
      </w:tr>
    </w:tbl>
    <w:p>
      <w:pPr>
        <w:spacing w:after="0"/>
      </w:pPr>
    </w:p>
    <w:p>
      <w:pPr>
        <w:spacing w:before="60" w:after="0"/>
        <w:jc w:val="center"/>
      </w:pPr>
      <w:r>
        <w:drawing>
          <wp:inline xmlns:a="http://schemas.openxmlformats.org/drawingml/2006/main" xmlns:pic="http://schemas.openxmlformats.org/drawingml/2006/picture">
            <wp:extent cx="6192000" cy="6300000"/>
            <wp:docPr id="5" name="Picture 5"/>
            <wp:cNvGraphicFramePr>
              <a:graphicFrameLocks noChangeAspect="1"/>
            </wp:cNvGraphicFramePr>
            <a:graphic>
              <a:graphicData uri="http://schemas.openxmlformats.org/drawingml/2006/picture">
                <pic:pic>
                  <pic:nvPicPr>
                    <pic:cNvPr id="0" name="stream-de-04.png"/>
                    <pic:cNvPicPr/>
                  </pic:nvPicPr>
                  <pic:blipFill>
                    <a:blip r:embed="rId13"/>
                    <a:stretch>
                      <a:fillRect/>
                    </a:stretch>
                  </pic:blipFill>
                  <pic:spPr>
                    <a:xfrm>
                      <a:off x="0" y="0"/>
                      <a:ext cx="6192000" cy="6300000"/>
                    </a:xfrm>
                    <a:prstGeom prst="rect"/>
                  </pic:spPr>
                </pic:pic>
              </a:graphicData>
            </a:graphic>
          </wp:inline>
        </w:drawing>
      </w:r>
    </w:p>
    <w:p>
      <w:pPr>
        <w:sectPr>
          <w:headerReference w:type="default" r:id="rId27"/>
          <w:footerReference w:type="default" r:id="rId28"/>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Übersetzungsgrenzen und historische Kontextlektüre</w:t>
      </w:r>
    </w:p>
    <w:p>
      <w:pPr>
        <w:spacing w:after="140" w:line="254" w:lineRule="auto"/>
      </w:pPr>
      <w:r>
        <w:rPr>
          <w:rFonts w:ascii="Georgia" w:hAnsi="Georgia"/>
          <w:b w:val="0"/>
          <w:color w:val="15202B"/>
          <w:sz w:val="17"/>
        </w:rPr>
        <w:t>Cassin. Zwölf Begriffsfälle und 24 publizierte Übersetzungswege wurden mit Primärtexten, Lexikografie, Same-Passage-Vergleichen und Gegenmodellen geprüft. Die Adjudikation ergibt A=4, B=13, C=5 und X=2. Der Ubuntu-Fall bleibt offen; es gibt keine kanonische Atlasintegration.</w:t>
      </w:r>
    </w:p>
    <w:p>
      <w:pPr>
        <w:spacing w:after="140" w:line="254" w:lineRule="auto"/>
      </w:pPr>
      <w:r>
        <w:rPr>
          <w:rFonts w:ascii="Georgia" w:hAnsi="Georgia"/>
          <w:b w:val="0"/>
          <w:color w:val="15202B"/>
          <w:sz w:val="17"/>
        </w:rPr>
        <w:t>ILIESI. Der erweiterte Pilot prüft acht Atlasbegriffe in sieben Fällen anhand von 15 Belegdatensätzen zu drei Autoren. Übersetzungen derselben Passage zählen nicht als unabhängige Befunde. Kein Humanreview und keine kanonische Integration; Vertiefung bleibt zurückgestellt.</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Strang</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Ergebniseinheit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DOI</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12 Fälle / 24 Wege / 2 X</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10.5281/zenodo.22736783</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8 Begriffe / 7 Fälle / 15 Belege</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10.5281/zenodo.22749535</w:t>
            </w:r>
          </w:p>
        </w:tc>
      </w:tr>
    </w:tbl>
    <w:p>
      <w:pPr>
        <w:spacing w:after="0"/>
      </w:pPr>
    </w:p>
    <w:p>
      <w:pPr>
        <w:spacing w:before="60" w:after="0"/>
        <w:jc w:val="center"/>
      </w:pPr>
      <w:r>
        <w:drawing>
          <wp:inline xmlns:a="http://schemas.openxmlformats.org/drawingml/2006/main" xmlns:pic="http://schemas.openxmlformats.org/drawingml/2006/picture">
            <wp:extent cx="6192000" cy="6300000"/>
            <wp:docPr id="6" name="Picture 6"/>
            <wp:cNvGraphicFramePr>
              <a:graphicFrameLocks noChangeAspect="1"/>
            </wp:cNvGraphicFramePr>
            <a:graphic>
              <a:graphicData uri="http://schemas.openxmlformats.org/drawingml/2006/picture">
                <pic:pic>
                  <pic:nvPicPr>
                    <pic:cNvPr id="0" name="stream-de-05.png"/>
                    <pic:cNvPicPr/>
                  </pic:nvPicPr>
                  <pic:blipFill>
                    <a:blip r:embed="rId14"/>
                    <a:stretch>
                      <a:fillRect/>
                    </a:stretch>
                  </pic:blipFill>
                  <pic:spPr>
                    <a:xfrm>
                      <a:off x="0" y="0"/>
                      <a:ext cx="6192000" cy="6300000"/>
                    </a:xfrm>
                    <a:prstGeom prst="rect"/>
                  </pic:spPr>
                </pic:pic>
              </a:graphicData>
            </a:graphic>
          </wp:inline>
        </w:drawing>
      </w:r>
    </w:p>
    <w:p>
      <w:pPr>
        <w:sectPr>
          <w:headerReference w:type="default" r:id="rId29"/>
          <w:footerReference w:type="default" r:id="rId30"/>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Berichte Datensätze und Zitierwege</w:t>
      </w:r>
    </w:p>
    <w:p>
      <w:pPr>
        <w:spacing w:after="140" w:line="254" w:lineRule="auto"/>
      </w:pPr>
      <w:r>
        <w:rPr>
          <w:rFonts w:ascii="Georgia" w:hAnsi="Georgia"/>
          <w:b w:val="0"/>
          <w:color w:val="15202B"/>
          <w:sz w:val="17"/>
        </w:rPr>
        <w:t>Jeder veröffentlichte Strang besitzt einen Bericht und eine konkrete Versions-DOI. DOCX-Fassungen bleiben redaktionelle Begleitprodukte; der zitierfähige Nachweis ist der jeweilige Zenodo-Datensatz. Die DOI des externen Quellensystems bleibt von der Atlas-Publikation getrennt.</w:t>
      </w:r>
    </w:p>
    <w:p>
      <w:pPr>
        <w:spacing w:after="140" w:line="254" w:lineRule="auto"/>
      </w:pPr>
      <w:r>
        <w:rPr>
          <w:rFonts w:ascii="Georgia" w:hAnsi="Georgia"/>
          <w:b w:val="0"/>
          <w:color w:val="15202B"/>
          <w:sz w:val="17"/>
        </w:rPr>
        <w:t>Zitiert wird die konkrete Atlas-Version mit Autor, Jahr, Titel, Version, Zenodo und DOI. Externe Datenquellen werden zusätzlich mit ihrer eigenen Version und Rechtebasis genannt. Chinesische Rhetorik bleibt source-review und besitzt noch keinen Forschungsbericht oder DOI-Datensatz.</w:t>
      </w:r>
    </w:p>
    <w:tbl>
      <w:tblPr>
        <w:tblW w:type="auto" w:w="0"/>
        <w:jc w:val="center"/>
        <w:tblLayout w:type="autofit"/>
        <w:tblLook w:firstColumn="1" w:firstRow="1" w:lastColumn="0" w:lastRow="0" w:noHBand="0" w:noVBand="1" w:val="04A0"/>
      </w:tblPr>
      <w:tblGrid>
        <w:gridCol w:w="2466"/>
        <w:gridCol w:w="2466"/>
        <w:gridCol w:w="2466"/>
        <w:gridCol w:w="2466"/>
      </w:tblGrid>
      <w:tr>
        <w:tc>
          <w:tcPr>
            <w:tcW w:type="dxa" w:w="2466"/>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Strang</w:t>
            </w:r>
          </w:p>
        </w:tc>
        <w:tc>
          <w:tcPr>
            <w:tcW w:type="dxa" w:w="2466"/>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Bericht</w:t>
            </w:r>
          </w:p>
        </w:tc>
        <w:tc>
          <w:tcPr>
            <w:tcW w:type="dxa" w:w="2466"/>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Atlaswirkung</w:t>
            </w:r>
          </w:p>
        </w:tc>
        <w:tc>
          <w:tcPr>
            <w:tcW w:type="dxa" w:w="2466"/>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Versions-DOI</w:t>
            </w:r>
          </w:p>
        </w:tc>
      </w:tr>
      <w:tr>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Denkwege / reasoning paths</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10.5281/zenodo.22691224</w:t>
            </w:r>
          </w:p>
        </w:tc>
      </w:tr>
      <w:tr>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Crosswalks</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10.5281/zenodo.22713535</w:t>
            </w:r>
          </w:p>
        </w:tc>
      </w:tr>
      <w:tr>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FrameNet</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Crosswalks</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10.5281/zenodo.22713158</w:t>
            </w:r>
          </w:p>
        </w:tc>
      </w:tr>
      <w:tr>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Evidenz / evidence</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10.5281/zenodo.22713208</w:t>
            </w:r>
          </w:p>
        </w:tc>
      </w:tr>
      <w:tr>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 + DOCX</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Evidenzen 1719-1739</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10.5281/zenodo.22752606</w:t>
            </w:r>
          </w:p>
        </w:tc>
      </w:tr>
      <w:tr>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 + DOCX</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10.5281/zenodo.22736783</w:t>
            </w:r>
          </w:p>
        </w:tc>
      </w:tr>
      <w:tr>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 + DOCX</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10.5281/zenodo.22749535</w:t>
            </w:r>
          </w:p>
        </w:tc>
      </w:tr>
      <w:tr>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Mapping Metaphor</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 + DOCX</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10.5281/zenodo.22735837</w:t>
            </w:r>
          </w:p>
        </w:tc>
      </w:tr>
    </w:tbl>
    <w:p>
      <w:pPr>
        <w:spacing w:after="0"/>
      </w:pPr>
    </w:p>
    <w:p>
      <w:pPr>
        <w:spacing w:before="60" w:after="0"/>
        <w:jc w:val="center"/>
      </w:pPr>
      <w:r>
        <w:drawing>
          <wp:inline xmlns:a="http://schemas.openxmlformats.org/drawingml/2006/main" xmlns:pic="http://schemas.openxmlformats.org/drawingml/2006/picture">
            <wp:extent cx="6192000" cy="5220000"/>
            <wp:docPr id="7" name="Picture 7"/>
            <wp:cNvGraphicFramePr>
              <a:graphicFrameLocks noChangeAspect="1"/>
            </wp:cNvGraphicFramePr>
            <a:graphic>
              <a:graphicData uri="http://schemas.openxmlformats.org/drawingml/2006/picture">
                <pic:pic>
                  <pic:nvPicPr>
                    <pic:cNvPr id="0" name="stream-de-06.png"/>
                    <pic:cNvPicPr/>
                  </pic:nvPicPr>
                  <pic:blipFill>
                    <a:blip r:embed="rId15"/>
                    <a:stretch>
                      <a:fillRect/>
                    </a:stretch>
                  </pic:blipFill>
                  <pic:spPr>
                    <a:xfrm>
                      <a:off x="0" y="0"/>
                      <a:ext cx="6192000" cy="5220000"/>
                    </a:xfrm>
                    <a:prstGeom prst="rect"/>
                  </pic:spPr>
                </pic:pic>
              </a:graphicData>
            </a:graphic>
          </wp:inline>
        </w:drawing>
      </w:r>
    </w:p>
    <w:p>
      <w:pPr>
        <w:sectPr>
          <w:headerReference w:type="default" r:id="rId31"/>
          <w:footerReference w:type="default" r:id="rId32"/>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Beobachtete Kapazität mit klarer Grenze</w:t>
      </w:r>
    </w:p>
    <w:p>
      <w:pPr>
        <w:spacing w:after="140" w:line="254" w:lineRule="auto"/>
      </w:pPr>
      <w:r>
        <w:rPr>
          <w:rFonts w:ascii="Georgia" w:hAnsi="Georgia"/>
          <w:b w:val="0"/>
          <w:color w:val="15202B"/>
          <w:sz w:val="17"/>
        </w:rPr>
        <w:t>Die Kapazitätsrückschau übernimmt die eingefrorenen Werte der Gesamtfassung 1.2. Sie ist keine neue Verbrauchsauswertung. Sieben Projektströme umfassen 1.532,58 Mio. Roh-Token; gemeinsame Arbeit 58,53 Mio.; Gesamt 1.591,11 Mio. ILIESI besitzt keinen nachträglich rekonstruierten Verbrauchswert.</w:t>
      </w:r>
    </w:p>
    <w:p>
      <w:pPr>
        <w:spacing w:after="140" w:line="254" w:lineRule="auto"/>
      </w:pPr>
      <w:r>
        <w:rPr>
          <w:rFonts w:ascii="Georgia" w:hAnsi="Georgia"/>
          <w:b w:val="0"/>
          <w:color w:val="15202B"/>
          <w:sz w:val="17"/>
        </w:rPr>
        <w:t>Tokenmengen zeigen beobachtete Modellkapazität in abgegrenzten Arbeitsfenstern. Sie messen weder wissenschaftliche Qualität noch menschliche Arbeitszeit, GPU-Zeit, Energieverbrauch oder Eurokosten. Fehlende Werte bleiben fehlend und werden nicht als null ausgegeben.</w:t>
      </w:r>
    </w:p>
    <w:tbl>
      <w:tblPr>
        <w:tblW w:type="auto" w:w="0"/>
        <w:jc w:val="center"/>
        <w:tblLayout w:type="autofit"/>
        <w:tblLook w:firstColumn="1" w:firstRow="1" w:lastColumn="0" w:lastRow="0" w:noHBand="0" w:noVBand="1" w:val="04A0"/>
      </w:tblPr>
      <w:tblGrid>
        <w:gridCol w:w="4933"/>
        <w:gridCol w:w="4933"/>
      </w:tblGrid>
      <w:tr>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Strang</w:t>
            </w:r>
          </w:p>
        </w:tc>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Mio. Roh-Token</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173,81</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194,25</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FrameNet</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301,65</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136,62</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134,62</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Mapping Metaphor</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208,28</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383,35</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Gemeinsame Arbeit</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58,53</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nicht gemessen</w:t>
            </w:r>
          </w:p>
        </w:tc>
      </w:tr>
    </w:tbl>
    <w:p>
      <w:pPr>
        <w:spacing w:after="0"/>
      </w:pPr>
    </w:p>
    <w:p>
      <w:pPr>
        <w:spacing w:before="60" w:after="0"/>
        <w:jc w:val="center"/>
      </w:pPr>
      <w:r>
        <w:drawing>
          <wp:inline xmlns:a="http://schemas.openxmlformats.org/drawingml/2006/main" xmlns:pic="http://schemas.openxmlformats.org/drawingml/2006/picture">
            <wp:extent cx="6192000" cy="5220000"/>
            <wp:docPr id="8" name="Picture 8"/>
            <wp:cNvGraphicFramePr>
              <a:graphicFrameLocks noChangeAspect="1"/>
            </wp:cNvGraphicFramePr>
            <a:graphic>
              <a:graphicData uri="http://schemas.openxmlformats.org/drawingml/2006/picture">
                <pic:pic>
                  <pic:nvPicPr>
                    <pic:cNvPr id="0" name="stream-de-07.png"/>
                    <pic:cNvPicPr/>
                  </pic:nvPicPr>
                  <pic:blipFill>
                    <a:blip r:embed="rId16"/>
                    <a:stretch>
                      <a:fillRect/>
                    </a:stretch>
                  </pic:blipFill>
                  <pic:spPr>
                    <a:xfrm>
                      <a:off x="0" y="0"/>
                      <a:ext cx="6192000" cy="5220000"/>
                    </a:xfrm>
                    <a:prstGeom prst="rect"/>
                  </pic:spPr>
                </pic:pic>
              </a:graphicData>
            </a:graphic>
          </wp:inline>
        </w:drawing>
      </w:r>
    </w:p>
    <w:p>
      <w:pPr>
        <w:sectPr>
          <w:headerReference w:type="default" r:id="rId33"/>
          <w:footerReference w:type="default" r:id="rId34"/>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Nutzen in Relation zum Einsatz</w:t>
      </w:r>
    </w:p>
    <w:p>
      <w:pPr>
        <w:spacing w:after="140" w:line="254" w:lineRule="auto"/>
      </w:pPr>
      <w:r>
        <w:rPr>
          <w:rFonts w:ascii="Georgia" w:hAnsi="Georgia"/>
          <w:b w:val="0"/>
          <w:color w:val="15202B"/>
          <w:sz w:val="17"/>
        </w:rPr>
        <w:t>Die Projekte verwenden unterschiedliche Ergebniseinheiten. Kleine Kapazitätswerte pro Einheit bedeuten nicht mehr Wahrheit oder höheren Forschungswert. Der sinnvolle Vergleich beginnt bei der jeweiligen Forschungsfunktion.</w:t>
      </w:r>
    </w:p>
    <w:p>
      <w:pPr>
        <w:spacing w:after="140" w:line="254" w:lineRule="auto"/>
      </w:pPr>
      <w:r>
        <w:rPr>
          <w:rFonts w:ascii="Georgia" w:hAnsi="Georgia"/>
          <w:b w:val="0"/>
          <w:color w:val="15202B"/>
          <w:sz w:val="17"/>
        </w:rPr>
        <w:t>WordNet, CLICS und FrameNet liefern breite Anschlussflächen. WALS und HTE binden gezielte typologische und historische Quellenbehauptungen an den Atlas. Cassin, ILIESI und Mapping Metaphor prüfen Nichtäquivalenz, Kontextabhängigkeit, Gegenmodelle und offene Entscheidungen. Research-only ist eine sachliche Statusgrenze, kein Misserfolg.</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Zielprofil</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Stränge</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Typischer Ertrag</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Breite und Vernetzung</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 CLICS, FrameNet</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Begriffe, Denkwege, Szenen und Rollen</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Gezielte Evidenz</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 HTE</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Typologische und historische Quellenbindung</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Tiefe und Methodenprüfung</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 ILIESI, Mapping Metaphor</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Falldossiers, Gegenmodelle und Scope-Grenzen</w:t>
            </w:r>
          </w:p>
        </w:tc>
      </w:tr>
    </w:tbl>
    <w:p>
      <w:pPr>
        <w:spacing w:after="0"/>
      </w:pPr>
    </w:p>
    <w:p>
      <w:pPr>
        <w:spacing w:before="60" w:after="0"/>
        <w:jc w:val="center"/>
      </w:pPr>
      <w:r>
        <w:drawing>
          <wp:inline xmlns:a="http://schemas.openxmlformats.org/drawingml/2006/main" xmlns:pic="http://schemas.openxmlformats.org/drawingml/2006/picture">
            <wp:extent cx="6192000" cy="6156000"/>
            <wp:docPr id="9" name="Picture 9"/>
            <wp:cNvGraphicFramePr>
              <a:graphicFrameLocks noChangeAspect="1"/>
            </wp:cNvGraphicFramePr>
            <a:graphic>
              <a:graphicData uri="http://schemas.openxmlformats.org/drawingml/2006/picture">
                <pic:pic>
                  <pic:nvPicPr>
                    <pic:cNvPr id="0" name="stream-de-08.png"/>
                    <pic:cNvPicPr/>
                  </pic:nvPicPr>
                  <pic:blipFill>
                    <a:blip r:embed="rId17"/>
                    <a:stretch>
                      <a:fillRect/>
                    </a:stretch>
                  </pic:blipFill>
                  <pic:spPr>
                    <a:xfrm>
                      <a:off x="0" y="0"/>
                      <a:ext cx="6192000" cy="6156000"/>
                    </a:xfrm>
                    <a:prstGeom prst="rect"/>
                  </pic:spPr>
                </pic:pic>
              </a:graphicData>
            </a:graphic>
          </wp:inline>
        </w:drawing>
      </w:r>
    </w:p>
    <w:p>
      <w:pPr>
        <w:sectPr>
          <w:headerReference w:type="default" r:id="rId35"/>
          <w:footerReference w:type="default" r:id="rId36"/>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Fehlversuche Umwege und Korrekturen</w:t>
      </w:r>
    </w:p>
    <w:p>
      <w:pPr>
        <w:spacing w:after="140" w:line="254" w:lineRule="auto"/>
      </w:pPr>
      <w:r>
        <w:rPr>
          <w:rFonts w:ascii="Georgia" w:hAnsi="Georgia"/>
          <w:b w:val="0"/>
          <w:color w:val="15202B"/>
          <w:sz w:val="17"/>
        </w:rPr>
        <w:t>Umwege werden bewahrt, weil sie zeigen, welche Grenzen künftig vor Serienarbeit geklärt werden müssen. Ein Fehlversuch wird weder als erfolgreiche empirische Studie noch als bloßes Layoutdetail umgedeutet.</w:t>
      </w:r>
    </w:p>
    <w:p>
      <w:pPr>
        <w:spacing w:after="140" w:line="254" w:lineRule="auto"/>
      </w:pPr>
      <w:r>
        <w:rPr>
          <w:rFonts w:ascii="Georgia" w:hAnsi="Georgia"/>
          <w:b w:val="0"/>
          <w:color w:val="15202B"/>
          <w:sz w:val="17"/>
        </w:rPr>
        <w:t>Der erste Mapping-Metaphor-Bericht verfehlte die verlangte Trennung der Sprachfassungen und das Resonanzdesign. Der Human- und Medienzweig verlangte reale Codierende, Rater sowie Audio- und Videomaterial, die nicht verfügbar waren. Der visuell verfehlte Gesamtbericht V1.3 beschrieb Resonanz methodisch, setzte sie aber nicht gestalterisch um. V1.4 korrigiert diese Fehler offen.</w:t>
      </w:r>
    </w:p>
    <w:tbl>
      <w:tblPr>
        <w:tblW w:type="auto" w:w="0"/>
        <w:jc w:val="center"/>
        <w:tblLayout w:type="autofit"/>
        <w:tblLook w:firstColumn="1" w:firstRow="1" w:lastColumn="0" w:lastRow="0" w:noHBand="0" w:noVBand="1" w:val="04A0"/>
      </w:tblPr>
      <w:tblGrid>
        <w:gridCol w:w="4933"/>
        <w:gridCol w:w="4933"/>
      </w:tblGrid>
      <w:tr>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Fall</w:t>
            </w:r>
          </w:p>
        </w:tc>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Korrektur</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Mapping erster Abschluss</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Getrennte DE- und EN-Ausgaben im Resonanzdesign</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Human- und Medienzweig</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Ehrlicher research-only Abschluss; KI-intern klar bezeichnet</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 Satz und Design</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Musterseiten vor dem Vollsatz</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 Leerräume</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Dichteprüfung und Schlussbild vor Serienproduktion</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Gesamtbericht V1.3</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Durchgängiger Neuaufbau als Resonanzedition V1.4</w:t>
            </w:r>
          </w:p>
        </w:tc>
      </w:tr>
    </w:tbl>
    <w:p>
      <w:pPr>
        <w:spacing w:after="0"/>
      </w:pPr>
    </w:p>
    <w:p>
      <w:pPr>
        <w:spacing w:before="60" w:after="0"/>
        <w:jc w:val="center"/>
      </w:pPr>
      <w:r>
        <w:drawing>
          <wp:inline xmlns:a="http://schemas.openxmlformats.org/drawingml/2006/main" xmlns:pic="http://schemas.openxmlformats.org/drawingml/2006/picture">
            <wp:extent cx="6192000" cy="5724000"/>
            <wp:docPr id="10" name="Picture 10"/>
            <wp:cNvGraphicFramePr>
              <a:graphicFrameLocks noChangeAspect="1"/>
            </wp:cNvGraphicFramePr>
            <a:graphic>
              <a:graphicData uri="http://schemas.openxmlformats.org/drawingml/2006/picture">
                <pic:pic>
                  <pic:nvPicPr>
                    <pic:cNvPr id="0" name="stream-de-09.png"/>
                    <pic:cNvPicPr/>
                  </pic:nvPicPr>
                  <pic:blipFill>
                    <a:blip r:embed="rId18"/>
                    <a:stretch>
                      <a:fillRect/>
                    </a:stretch>
                  </pic:blipFill>
                  <pic:spPr>
                    <a:xfrm>
                      <a:off x="0" y="0"/>
                      <a:ext cx="6192000" cy="5724000"/>
                    </a:xfrm>
                    <a:prstGeom prst="rect"/>
                  </pic:spPr>
                </pic:pic>
              </a:graphicData>
            </a:graphic>
          </wp:inline>
        </w:drawing>
      </w:r>
    </w:p>
    <w:p>
      <w:pPr>
        <w:sectPr>
          <w:headerReference w:type="default" r:id="rId37"/>
          <w:footerReference w:type="default" r:id="rId38"/>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Verfahren und Resonanzdesign</w:t>
      </w:r>
    </w:p>
    <w:p>
      <w:pPr>
        <w:spacing w:after="140" w:line="254" w:lineRule="auto"/>
      </w:pPr>
      <w:r>
        <w:rPr>
          <w:rFonts w:ascii="Georgia" w:hAnsi="Georgia"/>
          <w:b w:val="0"/>
          <w:color w:val="15202B"/>
          <w:sz w:val="17"/>
        </w:rPr>
        <w:t>Forschung, Integration, Publikation und Layout erhalten getrennte Gates. Ein erfolgreicher Forschungsabschluss gibt weder Integration noch Veröffentlichung automatisch frei. Eine DOI-Publikation beweist keine kanonische Atlaswirkung.</w:t>
      </w:r>
    </w:p>
    <w:p>
      <w:pPr>
        <w:spacing w:after="140" w:line="254" w:lineRule="auto"/>
      </w:pPr>
      <w:r>
        <w:rPr>
          <w:rFonts w:ascii="Georgia" w:hAnsi="Georgia"/>
          <w:b w:val="0"/>
          <w:color w:val="15202B"/>
          <w:sz w:val="17"/>
        </w:rPr>
        <w:t>Resonanz bezeichnet weder Identität noch Harmonie. Dunkelblau markiert den Atlas als Bezugsraum, Gold belegte Entscheidungen, Türkis Beziehungen und Eigenräume, Creme prüfbare Evidenzflächen. Belegen, begrenzen, unterscheiden und verbinden bilden die methodische Entsprechung.</w:t>
      </w:r>
    </w:p>
    <w:p>
      <w:pPr>
        <w:spacing w:after="140" w:line="254" w:lineRule="auto"/>
      </w:pPr>
      <w:r>
        <w:rPr>
          <w:rFonts w:ascii="Georgia" w:hAnsi="Georgia"/>
          <w:b w:val="0"/>
          <w:color w:val="15202B"/>
          <w:sz w:val="17"/>
        </w:rPr>
        <w:t>Sichtbare freie Flächen gelten nicht automatisch als Ausdruck von Ruhe. Jede Seite nutzt den verfügbaren Raum für Text, Tabelle, Grafik oder Resonanzbild. Absichtliche Leere wäre gesondert freizugeben.</w:t>
      </w:r>
    </w:p>
    <w:tbl>
      <w:tblPr>
        <w:tblW w:type="auto" w:w="0"/>
        <w:jc w:val="center"/>
        <w:tblLayout w:type="autofit"/>
        <w:tblLook w:firstColumn="1" w:firstRow="1" w:lastColumn="0" w:lastRow="0" w:noHBand="0" w:noVBand="1" w:val="04A0"/>
      </w:tblPr>
      <w:tblGrid>
        <w:gridCol w:w="4933"/>
        <w:gridCol w:w="4933"/>
      </w:tblGrid>
      <w:tr>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Gate</w:t>
            </w:r>
          </w:p>
        </w:tc>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Mindestnachweis</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Forschung</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Quelle, Primärbefund, Gegenprüfung und Unsicherheit</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Integration</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Getrenntes Datenmodell, kontrollierter Apply und Readback</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Publikation</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Bericht, Datensatz, Rechte, DOI, Deployment und Live-Readback</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Layout</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Resonanzvorlage, Musterseiten, Rendering und Sichtprüfung</w:t>
            </w:r>
          </w:p>
        </w:tc>
      </w:tr>
    </w:tbl>
    <w:p>
      <w:pPr>
        <w:spacing w:after="0"/>
      </w:pPr>
    </w:p>
    <w:p>
      <w:pPr>
        <w:spacing w:before="60" w:after="0"/>
        <w:jc w:val="center"/>
      </w:pPr>
      <w:r>
        <w:drawing>
          <wp:inline xmlns:a="http://schemas.openxmlformats.org/drawingml/2006/main" xmlns:pic="http://schemas.openxmlformats.org/drawingml/2006/picture">
            <wp:extent cx="6192000" cy="5940000"/>
            <wp:docPr id="11" name="Picture 11"/>
            <wp:cNvGraphicFramePr>
              <a:graphicFrameLocks noChangeAspect="1"/>
            </wp:cNvGraphicFramePr>
            <a:graphic>
              <a:graphicData uri="http://schemas.openxmlformats.org/drawingml/2006/picture">
                <pic:pic>
                  <pic:nvPicPr>
                    <pic:cNvPr id="0" name="stream-de-10.png"/>
                    <pic:cNvPicPr/>
                  </pic:nvPicPr>
                  <pic:blipFill>
                    <a:blip r:embed="rId19"/>
                    <a:stretch>
                      <a:fillRect/>
                    </a:stretch>
                  </pic:blipFill>
                  <pic:spPr>
                    <a:xfrm>
                      <a:off x="0" y="0"/>
                      <a:ext cx="6192000" cy="5940000"/>
                    </a:xfrm>
                    <a:prstGeom prst="rect"/>
                  </pic:spPr>
                </pic:pic>
              </a:graphicData>
            </a:graphic>
          </wp:inline>
        </w:drawing>
      </w:r>
    </w:p>
    <w:p>
      <w:pPr>
        <w:sectPr>
          <w:headerReference w:type="default" r:id="rId39"/>
          <w:footerReference w:type="default" r:id="rId40"/>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Datenprodukte Zitation und Quellen</w:t>
      </w:r>
    </w:p>
    <w:p>
      <w:pPr>
        <w:spacing w:after="140" w:line="254" w:lineRule="auto"/>
      </w:pPr>
      <w:r>
        <w:rPr>
          <w:rFonts w:ascii="Georgia" w:hAnsi="Georgia"/>
          <w:b w:val="0"/>
          <w:color w:val="15202B"/>
          <w:sz w:val="17"/>
        </w:rPr>
        <w:t>Die Datensätze publizieren projektseitige Entscheidungen, Atlas-IDs, Typisierungen, Quellenlinks und Prüfnachweise. Externe Datenbanken, geschützte Übersetzungen und nicht freigegebene Volltexte werden nicht als eigene offene Daten ausgegeben.</w:t>
      </w:r>
    </w:p>
    <w:p>
      <w:pPr>
        <w:spacing w:after="140" w:line="254" w:lineRule="auto"/>
      </w:pPr>
      <w:r>
        <w:rPr>
          <w:rFonts w:ascii="Georgia" w:hAnsi="Georgia"/>
          <w:b w:val="0"/>
          <w:color w:val="15202B"/>
          <w:sz w:val="17"/>
        </w:rPr>
        <w:t>Zentrale Zitierform: Reich, Michael (2026): Forschungsstränge im Atlas der Sprache. Gesamtforschungsbericht im Resonanzdesign. Version 1.4. Atelier der Resonanzen / Atlas der Sprache, 14. September 2026.</w:t>
      </w:r>
    </w:p>
    <w:p>
      <w:pPr>
        <w:spacing w:after="140" w:line="254" w:lineRule="auto"/>
      </w:pPr>
      <w:r>
        <w:rPr>
          <w:rFonts w:ascii="Georgia" w:hAnsi="Georgia"/>
          <w:b w:val="0"/>
          <w:color w:val="15202B"/>
          <w:sz w:val="17"/>
        </w:rPr>
        <w:t>Quellenbasis sind die acht veröffentlichten Forschungsberichte und ihre Zenodo-Datensätze, die Atlas-Forschungsbibliothek mit Stand 14.09.2026, die historische Kapazitätsbilanz der Gesamtfassung 1.2 und der genehmigte Atlas-Forschungsstandard v1.0. Externe Primärquellen und Rechtehinweise stehen in den Einzelberichten.</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Strang</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Publizierte Atlas-Schicht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Grenze</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Denkwege und Status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Externe IDs getrennt</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Sense-Key-Crosswalks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WordNet-Rechte extern</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FrameNet</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Typisierte Crosswalks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Frames und LUs extern</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Evidenz und Crosswalks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Nicht verallgemeinern</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Projektentscheidungen</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Keine HTE-Rohdaten</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Falldossiers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Keine Übersetzungsvolltexte</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Belegregister</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Editionsvorbehalte</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Mapping Metaphor</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 Evidenz</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Keine Humanvalidierung</w:t>
            </w:r>
          </w:p>
        </w:tc>
      </w:tr>
    </w:tbl>
    <w:p>
      <w:pPr>
        <w:spacing w:after="0"/>
      </w:pPr>
    </w:p>
    <w:p>
      <w:pPr>
        <w:spacing w:before="60" w:after="0"/>
        <w:jc w:val="center"/>
      </w:pPr>
      <w:r>
        <w:drawing>
          <wp:inline xmlns:a="http://schemas.openxmlformats.org/drawingml/2006/main" xmlns:pic="http://schemas.openxmlformats.org/drawingml/2006/picture">
            <wp:extent cx="6192000" cy="5220000"/>
            <wp:docPr id="12" name="Picture 12"/>
            <wp:cNvGraphicFramePr>
              <a:graphicFrameLocks noChangeAspect="1"/>
            </wp:cNvGraphicFramePr>
            <a:graphic>
              <a:graphicData uri="http://schemas.openxmlformats.org/drawingml/2006/picture">
                <pic:pic>
                  <pic:nvPicPr>
                    <pic:cNvPr id="0" name="stream-de-11.png"/>
                    <pic:cNvPicPr/>
                  </pic:nvPicPr>
                  <pic:blipFill>
                    <a:blip r:embed="rId20"/>
                    <a:stretch>
                      <a:fillRect/>
                    </a:stretch>
                  </pic:blipFill>
                  <pic:spPr>
                    <a:xfrm>
                      <a:off x="0" y="0"/>
                      <a:ext cx="6192000" cy="5220000"/>
                    </a:xfrm>
                    <a:prstGeom prst="rect"/>
                  </pic:spPr>
                </pic:pic>
              </a:graphicData>
            </a:graphic>
          </wp:inline>
        </w:drawing>
      </w:r>
    </w:p>
    <w:p>
      <w:pPr>
        <w:sectPr>
          <w:headerReference w:type="default" r:id="rId41"/>
          <w:footerReference w:type="default" r:id="rId42"/>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Acht Stränge und ein gemeinsames Erkenntnisfeld</w:t>
      </w:r>
    </w:p>
    <w:p>
      <w:pPr>
        <w:spacing w:after="140" w:line="254" w:lineRule="auto"/>
      </w:pPr>
      <w:r>
        <w:rPr>
          <w:rFonts w:ascii="Georgia" w:hAnsi="Georgia"/>
          <w:b w:val="0"/>
          <w:color w:val="15202B"/>
          <w:sz w:val="17"/>
        </w:rPr>
        <w:t>Der Atlas der Sprache verfügt über acht veröffentlichte Forschungsstränge mit eigenen Berichten und DOI-Datensätzen. Fünf Stränge wirken kanonisch über Denkwege, Crosswalks oder Evidenzen; drei bleiben bewusst research-only. Diese Differenz ist Teil des Ergebnisses.</w:t>
      </w:r>
    </w:p>
    <w:p>
      <w:pPr>
        <w:spacing w:after="140" w:line="254" w:lineRule="auto"/>
      </w:pPr>
      <w:r>
        <w:rPr>
          <w:rFonts w:ascii="Georgia" w:hAnsi="Georgia"/>
          <w:b w:val="0"/>
          <w:color w:val="15202B"/>
          <w:sz w:val="17"/>
        </w:rPr>
        <w:t>WordNet, CLICS, FrameNet, WALS, HTE, Cassin, ILIESI und Mapping Metaphor beantworten unterschiedliche Fragen. Das Resonanzdesign verbindet ihre Befunde, ohne Kategorien, Rechte oder Validitätsgrenzen zu vereinheitlichen.</w:t>
      </w:r>
    </w:p>
    <w:p>
      <w:pPr>
        <w:spacing w:after="140" w:line="254" w:lineRule="auto"/>
      </w:pPr>
      <w:r>
        <w:rPr>
          <w:rFonts w:ascii="Georgia" w:hAnsi="Georgia"/>
          <w:b w:val="0"/>
          <w:color w:val="15202B"/>
          <w:sz w:val="17"/>
        </w:rPr>
        <w:t>Der erste Mapping-Abschlussversuch, der nicht verfügbare Human- und Medienzweig und der visuell verfehlte Gesamtbericht V1.3 bleiben benannt. V1.4 ersetzt diese Fassung gestalterisch, ohne ihre Existenz oder die daraus entstandene Rechenarbeit zu leugnen.</w:t>
      </w:r>
    </w:p>
    <w:tbl>
      <w:tblPr>
        <w:tblW w:type="auto" w:w="0"/>
        <w:jc w:val="center"/>
        <w:tblLayout w:type="autofit"/>
        <w:tblLook w:firstColumn="1" w:firstRow="1" w:lastColumn="0" w:lastRow="0" w:noHBand="0" w:noVBand="1" w:val="04A0"/>
      </w:tblPr>
      <w:tblGrid>
        <w:gridCol w:w="4933"/>
        <w:gridCol w:w="4933"/>
      </w:tblGrid>
      <w:tr>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Bestand</w:t>
            </w:r>
          </w:p>
        </w:tc>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Abschlussaussage</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8 veröffentlichte Stränge</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Berichte und Versions-DOIs dokumentiert</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5 kanonisch wirkende Stränge</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Atlaswirkung separat nachgewiesen</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 research-only Stränge</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Keine behauptete kanonische Wirkung</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 weiterer Strang in Quellenprüfung</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Chinesische Rhetorik außerhalb des Abschlussbestands</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7 historische Kapazitätsströme</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 ohne erfundenen Verbrauchswert</w:t>
            </w:r>
          </w:p>
        </w:tc>
      </w:tr>
    </w:tbl>
    <w:p>
      <w:pPr>
        <w:spacing w:after="0"/>
      </w:pPr>
    </w:p>
    <w:p>
      <w:pPr>
        <w:spacing w:before="60" w:after="0"/>
        <w:jc w:val="center"/>
      </w:pPr>
      <w:r>
        <w:drawing>
          <wp:inline xmlns:a="http://schemas.openxmlformats.org/drawingml/2006/main" xmlns:pic="http://schemas.openxmlformats.org/drawingml/2006/picture">
            <wp:extent cx="6192000" cy="5724000"/>
            <wp:docPr id="13" name="Picture 13"/>
            <wp:cNvGraphicFramePr>
              <a:graphicFrameLocks noChangeAspect="1"/>
            </wp:cNvGraphicFramePr>
            <a:graphic>
              <a:graphicData uri="http://schemas.openxmlformats.org/drawingml/2006/picture">
                <pic:pic>
                  <pic:nvPicPr>
                    <pic:cNvPr id="0" name="stream-de-10.png"/>
                    <pic:cNvPicPr/>
                  </pic:nvPicPr>
                  <pic:blipFill>
                    <a:blip r:embed="rId19"/>
                    <a:stretch>
                      <a:fillRect/>
                    </a:stretch>
                  </pic:blipFill>
                  <pic:spPr>
                    <a:xfrm>
                      <a:off x="0" y="0"/>
                      <a:ext cx="6192000" cy="5724000"/>
                    </a:xfrm>
                    <a:prstGeom prst="rect"/>
                  </pic:spPr>
                </pic:pic>
              </a:graphicData>
            </a:graphic>
          </wp:inline>
        </w:drawing>
      </w:r>
    </w:p>
    <w:sectPr w:rsidR="00FC693F" w:rsidRPr="0006063C" w:rsidSect="00034616">
      <w:headerReference w:type="default" r:id="rId43"/>
      <w:footerReference w:type="default" r:id="rId44"/>
      <w:pgSz w:w="11906" w:h="16838"/>
      <w:pgMar w:top="964"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1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1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DER SPRACHE · GESAMTFORSCHUNG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header" Target="header2.xml"/><Relationship Id="rId24" Type="http://schemas.openxmlformats.org/officeDocument/2006/relationships/footer" Target="footer2.xml"/><Relationship Id="rId25" Type="http://schemas.openxmlformats.org/officeDocument/2006/relationships/header" Target="header3.xml"/><Relationship Id="rId26" Type="http://schemas.openxmlformats.org/officeDocument/2006/relationships/footer" Target="footer3.xml"/><Relationship Id="rId27" Type="http://schemas.openxmlformats.org/officeDocument/2006/relationships/header" Target="header4.xml"/><Relationship Id="rId28" Type="http://schemas.openxmlformats.org/officeDocument/2006/relationships/footer" Target="footer4.xml"/><Relationship Id="rId29" Type="http://schemas.openxmlformats.org/officeDocument/2006/relationships/header" Target="header5.xml"/><Relationship Id="rId30" Type="http://schemas.openxmlformats.org/officeDocument/2006/relationships/footer" Target="footer5.xml"/><Relationship Id="rId31" Type="http://schemas.openxmlformats.org/officeDocument/2006/relationships/header" Target="header6.xml"/><Relationship Id="rId32" Type="http://schemas.openxmlformats.org/officeDocument/2006/relationships/footer" Target="footer6.xml"/><Relationship Id="rId33" Type="http://schemas.openxmlformats.org/officeDocument/2006/relationships/header" Target="header7.xml"/><Relationship Id="rId34" Type="http://schemas.openxmlformats.org/officeDocument/2006/relationships/footer" Target="footer7.xml"/><Relationship Id="rId35" Type="http://schemas.openxmlformats.org/officeDocument/2006/relationships/header" Target="header8.xml"/><Relationship Id="rId36" Type="http://schemas.openxmlformats.org/officeDocument/2006/relationships/footer" Target="footer8.xml"/><Relationship Id="rId37" Type="http://schemas.openxmlformats.org/officeDocument/2006/relationships/header" Target="header9.xml"/><Relationship Id="rId38" Type="http://schemas.openxmlformats.org/officeDocument/2006/relationships/footer" Target="footer9.xml"/><Relationship Id="rId39" Type="http://schemas.openxmlformats.org/officeDocument/2006/relationships/header" Target="header10.xml"/><Relationship Id="rId40" Type="http://schemas.openxmlformats.org/officeDocument/2006/relationships/footer" Target="footer10.xml"/><Relationship Id="rId41" Type="http://schemas.openxmlformats.org/officeDocument/2006/relationships/header" Target="header11.xml"/><Relationship Id="rId42" Type="http://schemas.openxmlformats.org/officeDocument/2006/relationships/footer" Target="footer11.xml"/><Relationship Id="rId43" Type="http://schemas.openxmlformats.org/officeDocument/2006/relationships/header" Target="header12.xml"/><Relationship Id="rId44"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Forschungsstränge im Atlas der Sprache</dc:title>
  <dc:subject>Overall research report in resonance design</dc:subject>
  <dc:creator>Michael Reich</dc:creator>
  <cp:keywords/>
  <dc:description>generated by python-docx</dc:description>
  <cp:lastModifiedBy/>
  <cp:revision>1</cp:revision>
  <dcterms:created xsi:type="dcterms:W3CDTF">2013-12-23T23:15:00Z</dcterms:created>
  <dcterms:modified xsi:type="dcterms:W3CDTF">2013-12-23T23:15:00Z</dcterms:modified>
  <cp:category/>
</cp:coreProperties>
</file>